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3.46:1 on the April 2026 snapshot, operational installed compute raw ratio of 17.6:1), accelerated by the 2026 Trump tariffs and the concentration of compute in the United States (76.9%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76.9% for the United States, representing a raw operational ratio of 17.6:1 and a CACI Power Mode ratio (geometric formula F^0.40 x L^0.20 x R^0.15 / E^0.25) of 3.46:1.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(99.2%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3.46:1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3.46:1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