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RESEARCH STUDY - FEBRUARY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AI Protectionism, Energy and Semiconductors:</w:t>
        <w:br/>
        <w:t>US/Europe Divergence Trajectories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Integrated Geostrategic and Economic Analysis - ECONOMETRIC ANNEX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76.9% of global operational AI compute = USA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1.59x energy cost EU/US (PPP-adjusted)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3.46:1 CACI US/EU ratio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Paris-Sorbonne University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Master 2 Economic Intelligence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February 2026  |  11 chapters  |  4 prospective scenarios  |  Global analysis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Keywords: artificial intelligence, technological protectionism, semiconductors, export controls, sovereign compute, AI geopolitics, France, United States,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ECONOMETRIC ANNEX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Empirical Validation of CACI through Panel Data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This annex presents the econometric validation of the CACI (Compute-Adjusted Competitiveness Index) proposed in Chapter II. The objective is to test whether the CACI, constructed according to the geometric Power Mode formula F^0.40 x L^0.20 x R^0.15 / E^0.25, effectively predicts AI productivity differentials between countries. We use a panel of 12 countries over the 2020-2024 period (N = 60 observations) and estimate three specifications: OLS pooled, fixed effects (within estimator), and random effects (GLS).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A.1 Data Panel Construction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panel covers 12 economies representing over 90 percent of global AI compute: USA, China, UK, Germany, France, Japan, South Korea, India, Canada, Netherlands, Brazil, and Sweden. The period (2020-2024) captures the AI deployment acceleration phase and the first export control measures.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CACI is calculated according to the consolidated Power Mode formula: CACI(r,t) = F(r,t)^0.40 x L(r,t)^0.20 x R(r,t)^0.15 / E(r,t)^0.25. Weights are F = 0.40 (compute), L = 0.20 (human capital), R = 0.15 (regulatory access), E = 0.25 (energy cost).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A.3 Main Results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CACI coefficient is positive and statistically significant at the 1 percent level across all three specifications. The elasticity estimated by the fixed effects model (preferred) is 0.251: a 10 percent increase in CACI is associated with a 2.5 percent increase in sectoral AI productivity.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within R-squared of 0.692 indicates that the CACI Power Mode explains nearly 70 percent of the intra-country variance in AI productivity.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A.9 Phys/Sov Extension: Jurisdictional Validation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Phys/Sov extension decomposes factor F into two multiplicative components: F(r) = F_phys(r) x F_sov(r), where F_phys is physically installed compute and F_sov is the fraction under non-US jurisdiction.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While the US and China are fully sovereign (F_sov=100%), the EU is largely sovereign on cluster ownership (99.2%) but highly dependent on the cloud workload layer (only ~28% sovereign).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Table A.1. Panel variables and sources.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Source: Author's compilation.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Variable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Definition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Unit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Source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Accessible installed AI FLOPs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PetaFLOPs (H100-eq)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Epoch AI, Hawkins et al. (2025)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Data center energy cost (PPP-adj)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USD/MWh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Eurostat, EIA, IEA (2025)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PROD(r,t)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AI-intensive sector productivity gain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Annual % gain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McKinsey, IMF, Fed Board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Table A.2. Panel regression results.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Robust standard errors (clustered by country) in parentheses. *** p &lt; 0.01.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Variable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M1: OLS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M2: FE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M3: RE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ln(CACI)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0.173*** (0.038)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0.251*** (0.075)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0.504*** (0.020)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60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60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60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R2 within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0.227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0.692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0.920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Notes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Hawkins et al. (2025), 'AI Compute Sovereignty', Oxford Internet Institute.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CACI Power Mode formula: F^0.40 x L^0.20 x R^0.15 / E^0.25.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3. </w:t>
      </w:r>
      <w:r>
        <w:rPr>
          <w:rFonts w:ascii="Calibri" w:hAnsi="Calibri"/>
          <w:b w:val="0"/>
          <w:i w:val="0"/>
          <w:color w:val="555555"/>
          <w:sz w:val="18"/>
        </w:rPr>
        <w:t>Hausman test: chi2 = 13.91 (p = 0.001) -&gt; Fixed Effects preferred.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License and Disclaimer. This work, 'AI for Americans First', is made available under the terms of the Creative Commons Attribution - NonCommercial - ShareAlike 4.0 International (CC BY-NC-SA 4.0) license.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You are free to share and adapt the material for non-commercial purposes, provided you properly attribute the work to Fabrice Pizzi (Paris-Sorbonne University) and distribute your contributions under the same license. This document is provided for educational and research purposes only.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Public dashboard: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Repository: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Annex A Econometric Validation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