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0"/>
        </w:rPr>
        <w:t>ETUDE DE RECHERCHE - FEVRIER 2026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A2744"/>
          <w:sz w:val="52"/>
        </w:rPr>
        <w:t>AI FOR AMERICANS FIRST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24"/>
        </w:rPr>
        <w:t>Protectionnisme IA, Energie et Semi-conducteurs :</w:t>
        <w:br/>
        <w:t>Trajectoires de divergence US/Europe 2024-2030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55555"/>
          <w:sz w:val="22"/>
        </w:rPr>
        <w:t>Analyse geostrategique et economique integree - ANNEXE ECONOMETRIQUE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76,9 pct du compute IA operationnel mondial = USA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1,59x cout energie EU/US (ajuste-PPA)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3,46:1 ratio CACI US/EU (Power Mode)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rPr>
          <w:rFonts w:ascii="Calibri" w:hAnsi="Calibri"/>
          <w:b/>
          <w:i w:val="0"/>
          <w:color w:val="1A2744"/>
          <w:sz w:val="24"/>
        </w:rPr>
        <w:t>Fabrice Pizzi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Universite Paris-Sorbonne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55555"/>
          <w:sz w:val="20"/>
        </w:rPr>
        <w:t>Master 2 Intelligence Economique - Intelligence Warfare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55555"/>
          <w:sz w:val="20"/>
        </w:rPr>
        <w:t>Paris - fevrier 2026  |  11 chapitres  |  4 scenarios prospectifs  |  Analyse globale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555555"/>
          <w:sz w:val="18"/>
        </w:rPr>
        <w:t>Mots-cles : intelligence artificielle, protectionnisme technologique, semi-conducteurs, controles a l'exportation, compute souverain, geopolitique IA, France, Etats-Unis, Chine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B8922F"/>
          <w:sz w:val="22"/>
        </w:rPr>
        <w:t>ANNEXE ECONOMETRIQUE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A2744"/>
          <w:sz w:val="36"/>
        </w:rPr>
        <w:t>Validation empirique du CACI par donnees de panel</w:t>
      </w:r>
    </w:p>
    <w:p>
      <w:pPr>
        <w:spacing w:after="200" w:line="300" w:lineRule="auto"/>
      </w:pPr>
      <w:r>
        <w:rPr>
          <w:rFonts w:ascii="Calibri" w:hAnsi="Calibri"/>
          <w:b w:val="0"/>
          <w:i/>
          <w:color w:val="555555"/>
          <w:sz w:val="22"/>
        </w:rPr>
        <w:t>Cette annexe presente la validation econometrique de l'indice CACI (Compute-Adjusted Competitive Index) propose au chapitre II.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A.1 Construction du panel de donnees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Le panel couvre 12 economies representant plus de 90 pour cent du compute IA mondial.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A.3 Resultats principaux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L'elasticite estimee par le modele a effets fixes est de 0,251 : une hausse de 10 pour cent du CACI est associee a une hausse de 2,5 pour cent de la productivite IA sectorielle.</w:t>
      </w:r>
    </w:p>
    <w:p>
      <w:pPr>
        <w:spacing w:after="40"/>
      </w:pPr>
      <w:r>
        <w:rPr>
          <w:rFonts w:ascii="Calibri" w:hAnsi="Calibri"/>
          <w:b/>
          <w:i w:val="0"/>
          <w:color w:val="1A2744"/>
          <w:sz w:val="20"/>
        </w:rPr>
        <w:t>Tableau A.1. Variables du panel.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18"/>
        </w:rPr>
        <w:t>Source : compilation de l'auteur.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Variable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Definition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Unite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Source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F(r,t)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FLOPs IA installes accessibles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PetaFLOPs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Epoch AI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Notes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1. </w:t>
      </w:r>
      <w:r>
        <w:rPr>
          <w:rFonts w:ascii="Calibri" w:hAnsi="Calibri"/>
          <w:b w:val="0"/>
          <w:i w:val="0"/>
          <w:color w:val="555555"/>
          <w:sz w:val="18"/>
        </w:rPr>
        <w:t>Test de Hausman : chi2 = 13,91 (p = 0,001) -&gt; Effets fixes preferes.</w:t>
      </w:r>
    </w:p>
    <w:p/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Licence et avertissement. Cette oeuvre, 'AI for Americans First', est mise a disposition selon les termes de la licence Creative Commons Attribution - Pas d'Utilisation Commerciale - Partage dans les Memes Conditions 4.0 International (CC BY-NC-SA 4.0).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Vous etes libre de partager et adapter le materiel a des fins non commerciales, a condition d'attribuer correctement l'oeuvre a Fabrice Pizzi (Universite Paris-Sorbonne) et de distribuer vos contributions sous la meme licence. Ce document est fourni a des fins educatives et de recherche uniquement.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Tableau de bord public : https://mo0ogly.github.io/America-First-IA/dashboard/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Depot : https://github.com/mo0ogly/America-First-IA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555555"/>
          <w:sz w:val="16"/>
        </w:rPr>
        <w:t>AI for Americans First - Fabrice Pizzi - Annexe econometrique CACI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