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80"/>
        <w:jc w:val="center"/>
      </w:pPr>
      <w:r>
        <w:rPr>
          <w:rFonts w:ascii="Calibri" w:hAnsi="Calibri"/>
          <w:b/>
          <w:i w:val="0"/>
          <w:color w:val="555555"/>
          <w:sz w:val="20"/>
        </w:rPr>
        <w:t>ESTUDO DE PESQUISA - FEVEREIRO 2026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1A2744"/>
          <w:sz w:val="52"/>
        </w:rPr>
        <w:t>AI FOR AMERICANS FIRST</w:t>
      </w:r>
    </w:p>
    <w:p>
      <w:pPr>
        <w:spacing w:after="80"/>
        <w:jc w:val="center"/>
      </w:pPr>
      <w:r>
        <w:rPr>
          <w:rFonts w:ascii="Calibri" w:hAnsi="Calibri"/>
          <w:b w:val="0"/>
          <w:i/>
          <w:color w:val="555555"/>
          <w:sz w:val="24"/>
        </w:rPr>
        <w:t>Protecionismo de IA, Energia e Semicondutores:</w:t>
        <w:br/>
        <w:t>Trajetorias de Divergencia EUA/Europa 2024-2030</w:t>
      </w:r>
    </w:p>
    <w:p>
      <w:pPr>
        <w:spacing w:after="360"/>
        <w:jc w:val="center"/>
      </w:pPr>
      <w:r>
        <w:rPr>
          <w:rFonts w:ascii="Calibri" w:hAnsi="Calibri"/>
          <w:b w:val="0"/>
          <w:i/>
          <w:color w:val="555555"/>
          <w:sz w:val="22"/>
        </w:rPr>
        <w:t>Analise Geoestrategica e Economica Integrada - ANEXO D - NOTA DE PESQUISA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76,9% da computacao de IA operacional global = EUA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1,59x custo de energia UE/EUA (ajustado-PPP)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3,46:1 ratio CACI EUA/UE (Power Mode)</w:t>
            </w:r>
          </w:p>
        </w:tc>
      </w:tr>
    </w:tbl>
    <w:p>
      <w:pPr>
        <w:spacing w:after="160"/>
      </w:pPr>
    </w:p>
    <w:p>
      <w:pPr>
        <w:spacing w:after="40"/>
        <w:jc w:val="center"/>
      </w:pPr>
      <w:r>
        <w:rPr>
          <w:rFonts w:ascii="Calibri" w:hAnsi="Calibri"/>
          <w:b/>
          <w:i w:val="0"/>
          <w:color w:val="1A2744"/>
          <w:sz w:val="24"/>
        </w:rPr>
        <w:t>Fabrice Pizzi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0"/>
        </w:rPr>
        <w:t>Universidade Paris-Sorbonne</w:t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555555"/>
          <w:sz w:val="20"/>
        </w:rPr>
        <w:t>Mestrado 2 Inteligencia Economica - Intelligence Warfare</w:t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55555"/>
          <w:sz w:val="20"/>
        </w:rPr>
        <w:t>Paris - fevereiro 2026  |  11 capitulos  |  4 cenarios prospectivos  |  Analise global</w:t>
      </w:r>
    </w:p>
    <w:p>
      <w:pPr>
        <w:spacing w:after="480"/>
        <w:jc w:val="center"/>
      </w:pPr>
      <w:r>
        <w:rPr>
          <w:rFonts w:ascii="Calibri" w:hAnsi="Calibri"/>
          <w:b w:val="0"/>
          <w:i/>
          <w:color w:val="555555"/>
          <w:sz w:val="18"/>
        </w:rPr>
        <w:t>Palavras-chave: inteligencia artificial, protecionismo tecnologico, semicondutores, controles de exportacao, computacao soberana, geopolitica da IA, Franca, Estados Unidos, China</w:t>
      </w:r>
    </w:p>
    <w:p>
      <w:pPr>
        <w:spacing w:after="40"/>
        <w:jc w:val="center"/>
      </w:pPr>
      <w:r>
        <w:rPr>
          <w:rFonts w:ascii="Calibri" w:hAnsi="Calibri"/>
          <w:b/>
          <w:i w:val="0"/>
          <w:color w:val="B8922F"/>
          <w:sz w:val="22"/>
        </w:rPr>
        <w:t>ANEXO D - NOTA DE PESQUISA</w:t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1A2744"/>
          <w:sz w:val="36"/>
        </w:rPr>
        <w:t>Economia de Densidade Cognitiva e Estruturaçao de Mercado: Uma Analise de Inteligencia Economica da Doutrina Huang sobre o Consumo de Tokens de IA</w:t>
      </w:r>
    </w:p>
    <w:p>
      <w:pPr>
        <w:spacing w:after="200" w:line="300" w:lineRule="auto"/>
      </w:pPr>
      <w:r>
        <w:rPr>
          <w:rFonts w:ascii="Calibri" w:hAnsi="Calibri"/>
          <w:b w:val="0"/>
          <w:i/>
          <w:color w:val="555555"/>
          <w:sz w:val="22"/>
        </w:rPr>
        <w:t>Este anexo apresenta a nota de pesquisa de março de 2026 sobre a economia de densidade cognitiva, escrita apos a declaraçao de Jensen Huang (CEO da NVIDIA) em 20 de março de 2026: 'Se um engenheiro que ganha $500.000 nao consome pelo menos $250.000 de tokens de IA por ano, eu ficaria profundamente alarmado.' A nota propoe uma leitura de inteligencia economica desta declaraçao.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D.1 Contexto: Uma Declaração de Alto Impacto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Em 20 de março de 2026, Jensen Huang afirmou que um engenheiro ganhando $500.000 que nao gasta pelo menos $250.000 em tokens de IA seria motivo de alarme.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D.2 Estrutura Analítica: Quem está falando?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Jensen Huang e o CEO da NVIDIA, lider mundial em aceleradores de IA (80% de mercado). A NVIDIA e a principal beneficiaria do aumento do consumo de tokens.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D.7 Conclusão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A doutrina Huang sobre densidade cognitiva deve ser lida nao como um mandato universal de produtividade, mas como um sinal de estruturaçao de mercado. Para a França e a Europa, o objetivo e a capacidade de escolha: dominar a razao entre valor produzido e dependencia aceita.</w:t>
      </w:r>
    </w:p>
    <w:p>
      <w:pPr>
        <w:spacing w:after="40"/>
      </w:pPr>
      <w:r>
        <w:rPr>
          <w:rFonts w:ascii="Calibri" w:hAnsi="Calibri"/>
          <w:b/>
          <w:i w:val="0"/>
          <w:color w:val="1A2744"/>
          <w:sz w:val="20"/>
        </w:rPr>
        <w:t>Tabela D.1. Dados empíricos sobre ROI de GenAI.</w:t>
      </w:r>
    </w:p>
    <w:p>
      <w:pPr>
        <w:spacing w:after="80"/>
      </w:pPr>
      <w:r>
        <w:rPr>
          <w:rFonts w:ascii="Calibri" w:hAnsi="Calibri"/>
          <w:b w:val="0"/>
          <w:i/>
          <w:color w:val="555555"/>
          <w:sz w:val="18"/>
        </w:rPr>
        <w:t>Fonte: Compilaçao do autor.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Fonte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Ano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Principal Descoberta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MIT NANDA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2025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95% dos projetos GenAI sem impacto mensuravel no P&amp;L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Notas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1. </w:t>
      </w:r>
      <w:r>
        <w:rPr>
          <w:rFonts w:ascii="Calibri" w:hAnsi="Calibri"/>
          <w:b w:val="0"/>
          <w:i w:val="0"/>
          <w:color w:val="555555"/>
          <w:sz w:val="18"/>
        </w:rPr>
        <w:t>Jensen Huang, All-In Podcast, 20 de março de 2026.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2. </w:t>
      </w:r>
      <w:r>
        <w:rPr>
          <w:rFonts w:ascii="Calibri" w:hAnsi="Calibri"/>
          <w:b w:val="0"/>
          <w:i w:val="0"/>
          <w:color w:val="555555"/>
          <w:sz w:val="18"/>
        </w:rPr>
        <w:t>Snapshot abril 2026: ratio CACI EUA/UE 3,46:1.</w:t>
      </w:r>
    </w:p>
    <w:p/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Licenca e Isencao de Responsabilidade. Este trabalho, 'AI for Americans First', e disponibilizado sob os termos da licenca Creative Commons Atribuicao-NaoComercial-CompartilhaIgual 4.0 Internacional (CC BY-NC-SA 4.0).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Voce tem a liberdade de compartilhar e adaptar o material para fins nao comerciais, desde que atribua corretamente o trabalho a Fabrice Pizzi (Universidade Paris-Sorbonne) e distribua suas contribuicoes sob a mesma licenca. Este documento e fornecido apenas para fins educacionais e de pesquisa.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Painel publico: https://mo0ogly.github.io/America-First-IA/dashboard/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Repositorio: https://github.com/mo0ogly/America-First-IA</w:t>
      </w:r>
    </w:p>
    <w:p>
      <w:pPr>
        <w:spacing w:after="0"/>
        <w:jc w:val="center"/>
      </w:pPr>
      <w:r>
        <w:rPr>
          <w:rFonts w:ascii="Calibri" w:hAnsi="Calibri"/>
          <w:b w:val="0"/>
          <w:i/>
          <w:color w:val="555555"/>
          <w:sz w:val="16"/>
        </w:rPr>
        <w:t>AI for Americans First - Fabrice Pizzi - Anexo D Doutrina Huang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