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RESEARCH STUDY - FEBRUARY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AI Protectionism, Energy and Semiconductors:</w:t>
        <w:br/>
        <w:t>US/Europe Divergence Trajectories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Integrated Geostrategic and Economic Analysis - ANNEX C - ACADEMIC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76.9% of global operational AI compute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1.59x energy cost EU/US (PPP-adjusted)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3.46:1 CACI US/EU ratio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Paris-Sorbonne University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Economic Intelligence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February 2026  |  11 chapters  |  4 prospective scenarios  |  Global analysis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Keywords: artificial intelligence, technological protectionism, semiconductors, export controls, sovereign compute, AI geopolitics, France, United States,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 C - ACADEMIC NOTE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AI for Americans First: American AI Protectionism, Reconfiguration of the Global Technological Order and Consequences for France and Europe (2026-2030)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This annex presents the Academic Synthesis Note of the dissertation. This study analyzes the mechanisms and consequences of American AI protectionism under the Trump 2.0 administration, integrating four dimensions: energy, semiconductors, compute, and regulation. Based on an empirical diagnosis (2020-2026), the construction of a Compute-Adjusted Competitiveness Index (CACI), and a 2x2 scenario matrix, the research demonstrates that the combination of tariffs (25%, Section 232) and export controls creates a measurable structural competitive advantage (CACI US/EU ratio of 3.46:1, Power mode, for a raw operational compute ratio of 17.6:1, April 2026). The analysis reveals differentiated trajectories of dependence across regions (Europe, South America, Asia, Africa). A prospective addendum formalizes the 'Grand Decoupling 2028' scenario based on US Cloud Sovereignty Mandates, revealing that France and Europe must distinguish between physically installed capacity and operationally sovereign compute.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C.1 Subject and Problem Statement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AI has emerged since 2023 as the primary vector of economic innovation and geopolitical competition. Yet the AI value chain exhibits unprecedented concentration: as of the April 2026 public dashboard snapshot, the United States controls 76.9 percent of global operational AI compute, and five US hyperscalers plan 660-690 billion USD in capex for 2026 alone.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In this context, the Trump 2.0 administration has transformed Biden-era export controls (2022-2025) into a hybrid protectionist regime. This study asks: to what extent does American AI protectionism create a measurable structural competitive advantage, and what are the differentiated consequences for France, Europe, and other world regions?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C.2 Methodological Framework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methodology rests on three pillars: (1) An empirical longitudinal diagnosis (2020-2026) of energy, semiconductors, and compute distributions; (2) The construction of the Compute-Adjusted Competitiveness Index (CACI) Power Mode formula: CACI = F^0.40 x L^0.20 x R^0.15 / E^0.25; (3) A 2x2 scenario matrix crossing US protectionism intensity with European strategic response.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prospective addendum extends the CACI model with the decomposition F(r) = F_phys(r) x F_sov(r), where F_sov measures the fraction of regional compute operated outside US jurisdiction. This reveals that physically installed capacity does not equal operationally sovereign capacity.</w:t>
      </w:r>
    </w:p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C.3.1 A Three-Tiered Protectionism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study identifies a cumulative three-level protectionist architecture: (1) Export controls segmenting the world into three access tiers; (2) 25% Section 232 tariffs on advanced AI semiconductors creating a direct cost differential; (3) Capitalistic gravity effects where massive capex concentration reinforces US supremacy without further regulation.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potential fourth tier looms for 2028: Cloud Sovereignty Mandates, transforming US hyperscalers operating offshore into conditional intermediaries of global compute.</w:t>
      </w:r>
    </w:p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C.3.4 The Grand Decoupling 2028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This scenario models a qualitative shift: the transition from control of chip flows to control of the jurisdictional layer (operating sovereignty). The CLOUD Act (2018) already establishes that a cluster physically installed in Ireland remains legally American. The 'America's AI Action Plan' (2025) introduces location-verification features in chips for remote throttling.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Decomposition reveals that while the US and China are fully sovereign (F_sov=1.00), the EU is largely sovereign on cluster ownership (F_sov=0.99) but highly dependent on the cloud workload layer (F_sov_workloads ~0.28).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C.1. Summary of regional consequences of American AI protectionism.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Source: Author's construction, calibrated on April 2026 snapshot.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Region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Tier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Main Dynamic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Strategic Asset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Main Risk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France / Europe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Dependence on US GPU + cloud; InvestAI response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Nuclear energy (70% mix), Mistral, ASML, AI 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Geopolitical vendor lock-in; Low F_sov; CSM 2028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Brazil / S. America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US-China competition arena; Scala/TikTok projects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83% renewable energy mix; dynamic fintech market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Triple fracture (N-S, E-W, intra-regional)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China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Forced autonomy; alternative ecosystem (Huawei/DeepSeek)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Domestic market 1.4B; 125B+ USD/yr investment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2-3 gen GPU lag; tech isolation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b w:val="0"/>
          <w:i/>
          <w:color w:val="555555"/>
          <w:sz w:val="18"/>
        </w:rPr>
        <w:t>Main sources: IEA (2025-2026), World Bank (2025), Epoch AI, McKinsey, Synergy Research, White House BIS.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Public dashboard snapshot April 2026: USA 76.9% of global operational AI compute.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CACI Power Mode: F^0.40 x L^0.20 x R^0.15 / E^0.25. Validated at beta=0.251, p&lt;0.01.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Section 232: 25% tariff on advanced AI semiconductors (Jan 15, 2026).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4. </w:t>
      </w:r>
      <w:r>
        <w:rPr>
          <w:rFonts w:ascii="Calibri" w:hAnsi="Calibri"/>
          <w:b w:val="0"/>
          <w:i w:val="0"/>
          <w:color w:val="555555"/>
          <w:sz w:val="18"/>
        </w:rPr>
        <w:t>CLOUD Act (2018): Jurisdictional control over data regardless of physical storage location.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License and Disclaimer. This work, 'AI for Americans First', is made available under the terms of the Creative Commons Attribution - NonCommercial - ShareAlike 4.0 International (CC BY-NC-SA 4.0) license.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You are free to share and adapt the material for non-commercial purposes, provided you properly attribute the work to Fabrice Pizzi (Paris-Sorbonne University) and distribute your contributions under the same license. This document is provided for educational and research purposes only.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Public dashboard: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Repository: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 C Academic Note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