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RESEARCH STUDY - FEBRUARY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AI Protectionism, Energy and Semiconductors:</w:t>
        <w:br/>
        <w:t>US/Europe Divergence Trajectories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Integrated Geostrategic and Economic Analysis - ANNEX D - RESEARCH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76.9% of global operational AI compute = USA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1.59x energy cost EU/US (PPP-adjusted)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3.46:1 CACI US/EU ratio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Paris-Sorbonne University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Economic Intelligence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February 2026  |  11 chapters  |  4 prospective scenarios  |  Global analysis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Keywords: artificial intelligence, technological protectionism, semiconductors, export controls, sovereign compute, AI geopolitics, France, United States,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ANNEX D - RESEARCH NOTE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Cognitive Density Economy and Market Structuring: An Economic Intelligence Analysis of the Huang Doctrine on AI Token Consumption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This annex presents the March 2026 research note on the cognitive density economy, written following the statement by Jensen Huang (CEO of NVIDIA) on March 20: 'If an engineer paid $500,000 does not consume at least $250,000 of AI tokens per year, I would be deeply alarmed.' The note proposes an economic intelligence analysis of this statement, placing it in the context of NVIDIA's dominant market position (80% share) and the American protectionist architecture documented in the CACI Power Mode index (3.46:1 US/EU ratio). The analysis demonstrates that the prescription of massive token consumption is more about market structuring than managerial advice.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D.1 Context: A High-Impact Statement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On March 20, 2026, at the San Jose GTC, Jensen Huang stated that an engineer earning $500,000 who doesn't spend at least $250,000 on AI tokens would be a cause for alarm. He confirmed NVIDIA is attempting to spend $2 billion on tokens for its own engineering team.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Professional reception focused almost exclusively on the managerial dimension: productivity through intensive AI use. This note proposes a different reading based on economic intelligence.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D.2 Analytical Framework: Who is Speaking?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first reflex in economic intelligence is to identify the speaker's structural position. Jensen Huang is the CEO of NVIDIA, the world's leading supplier of AI accelerators (80% market share). NVIDIA is the primary beneficiary of increased token consumption worldwide.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Therefore, the 'consume half your salary in tokens' directive is not a neutral managerial tip; it is a market-structuring act. Every dollar spent on tokens generates demand for compute executed on NVIDIA hardware.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D.5 Cognitive Density Economy: From Managerial to Geostrategic Meaning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Cognitive density refers not just to individual productivity, but to a new global power regime. A nation's wealth is increasingly measured by its capacity to transform compute into reliable, verifiable, and sovereign results.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This is formalized by the CACI Power Mode (F^0.40 x L^0.20 x R^0.15 / E^0.25). On the April 2026 snapshot, the US/EU CACI ratio stands at 3.46:1, driven by a 17.6:1 raw operational compute gap and a 1.59x energy cost advantage for the US.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D.7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Huang doctrine on cognitive density should be read not as a universal productivity mandate, but as a signal of market structuring whose structural beneficiaries (NVIDIA, US hyperscalers) are identified. For France and Europe, the goal is not technological autarky, but the capacity to choose: mastering the ratio between produced value and accepted dependence.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Table D.1. Empirical data on GenAI ROI in enterprises (2025-2026).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Source: Author's compilation from independent surveys.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Source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Year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Main Finding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MIT NANDA 'The GenAI Divide'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95% of GenAI projects in enterprises produced no measurable P&amp;L impact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PwC CEO Survey (Davos)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2026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56% of CEOs state AI has not produced significant benefits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Gartner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60% of AI projects abandoned by end of 2026 due to non-AI-ready data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Jensen Huang, All-In Podcast, March 20, 2026.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NVIDIA Market Share: 80% (SIA, McKinsey).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3. </w:t>
      </w:r>
      <w:r>
        <w:rPr>
          <w:rFonts w:ascii="Calibri" w:hAnsi="Calibri"/>
          <w:b w:val="0"/>
          <w:i w:val="0"/>
          <w:color w:val="555555"/>
          <w:sz w:val="18"/>
        </w:rPr>
        <w:t>CACI Power Mode ratio US/EU: 3.46:1 (Snapshot April 2026).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4. </w:t>
      </w:r>
      <w:r>
        <w:rPr>
          <w:rFonts w:ascii="Calibri" w:hAnsi="Calibri"/>
          <w:b w:val="0"/>
          <w:i w:val="0"/>
          <w:color w:val="555555"/>
          <w:sz w:val="18"/>
        </w:rPr>
        <w:t>MIT NANDA 'The GenAI Divide' (2025).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License and Disclaimer. This work, 'AI for Americans First', is made available under the terms of the Creative Commons Attribution - NonCommercial - ShareAlike 4.0 International (CC BY-NC-SA 4.0) license.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You are free to share and adapt the material for non-commercial purposes, provided you properly attribute the work to Fabrice Pizzi (Paris-Sorbonne University) and distribute your contributions under the same license. This document is provided for educational and research purposes only.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Public dashboard: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Repository: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Annex D Huang Doctrine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