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B123B7B" w14:textId="77777777" w:rsidR="001277BD" w:rsidRDefault="001277BD" w:rsidP="001277BD"/>
    <w:p w14:paraId="3580E109" w14:textId="77777777" w:rsidR="001277BD" w:rsidRPr="00A26B51" w:rsidRDefault="001277BD" w:rsidP="001277BD">
      <w:pPr>
        <w:shd w:val="clear" w:color="auto" w:fill="D4AC0D"/>
        <w:jc w:val="center"/>
        <w:rPr>
          <w:lang w:val="pt-BR"/>
        </w:rPr>
      </w:pPr>
      <w:r>
        <w:rPr>
          <w:rFonts w:ascii="Calibri" w:eastAsia="Calibri" w:hAnsi="Calibri" w:cs="Calibri"/>
          <w:b/>
          <w:bCs/>
          <w:color w:val="0B1929"/>
          <w:lang w:val="pt-BR"/>
        </w:rPr>
        <w:t>ESTUDO DE PESQUISA — FEVEREIRO 2026</w:t>
      </w:r>
    </w:p>
    <w:p w14:paraId="2C45D9C8" w14:textId="77777777" w:rsidR="001277BD" w:rsidRPr="00A26B51" w:rsidRDefault="001277BD" w:rsidP="001277BD">
      <w:pPr>
        <w:spacing w:before="600"/>
        <w:rPr>
          <w:lang w:val="pt-BR"/>
        </w:rPr>
      </w:pPr>
    </w:p>
    <w:p w14:paraId="0EC09A63" w14:textId="77777777" w:rsidR="001277BD" w:rsidRPr="00A26B51" w:rsidRDefault="001277BD" w:rsidP="001277BD">
      <w:pPr>
        <w:spacing w:before="200" w:after="100"/>
        <w:jc w:val="center"/>
        <w:rPr>
          <w:lang w:val="pt-BR"/>
        </w:rPr>
      </w:pPr>
      <w:r>
        <w:rPr>
          <w:rFonts w:ascii="Calibri" w:eastAsia="Calibri" w:hAnsi="Calibri" w:cs="Calibri"/>
          <w:b/>
          <w:bCs/>
          <w:color w:val="0B1929"/>
          <w:sz w:val="72"/>
          <w:szCs w:val="72"/>
          <w:lang w:val="pt-BR"/>
        </w:rPr>
        <w:t>AI FOR AMERICANS FIRST</w:t>
      </w:r>
    </w:p>
    <w:p w14:paraId="0DEF7B72" w14:textId="77777777" w:rsidR="001277BD" w:rsidRPr="007917CC" w:rsidRDefault="001277BD" w:rsidP="001277BD">
      <w:pPr>
        <w:pStyle w:val="Titre1"/>
        <w:jc w:val="center"/>
        <w:rPr>
          <w:lang w:val="pt-BR"/>
        </w:rPr>
      </w:pPr>
      <w:r>
        <w:rPr>
          <w:sz w:val="24"/>
          <w:szCs w:val="24"/>
          <w:lang w:val="pt-BR"/>
        </w:rPr>
        <w:t>Cenários Prospectivos 2026–2030</w:t>
      </w:r>
    </w:p>
    <w:p w14:paraId="375F6FB9" w14:textId="77777777" w:rsidR="001277BD" w:rsidRPr="00A26B51" w:rsidRDefault="001277BD" w:rsidP="001277BD">
      <w:pPr>
        <w:pBdr>
          <w:bottom w:val="single" w:sz="12" w:space="1" w:color="D4AC0D"/>
        </w:pBdr>
        <w:spacing w:before="100" w:after="200"/>
        <w:jc w:val="center"/>
        <w:rPr>
          <w:lang w:val="pt-BR"/>
        </w:rPr>
      </w:pPr>
      <w:r>
        <w:rPr>
          <w:rFonts w:ascii="Calibri" w:eastAsia="Calibri" w:hAnsi="Calibri" w:cs="Calibri"/>
          <w:color w:val="0B1929"/>
          <w:lang w:val="pt-BR"/>
        </w:rPr>
        <w:t>Análise Geoestratégica e Econômica Integrada</w:t>
      </w:r>
    </w:p>
    <w:p w14:paraId="3E6DECCF" w14:textId="4E1E018A" w:rsidR="001277BD" w:rsidRDefault="001277BD" w:rsidP="001277BD">
      <w:pPr>
        <w:spacing w:before="60" w:after="60"/>
        <w:jc w:val="center"/>
        <w:rPr>
          <w:b/>
          <w:bCs/>
          <w:color w:val="1B3A5C"/>
          <w:sz w:val="30"/>
          <w:szCs w:val="30"/>
          <w:lang w:val="pt-BR"/>
        </w:rPr>
      </w:pPr>
      <w:r>
        <w:rPr>
          <w:b/>
          <w:bCs/>
          <w:color w:val="1B3A5C"/>
          <w:sz w:val="30"/>
          <w:szCs w:val="30"/>
          <w:lang w:val="pt-BR"/>
        </w:rPr>
        <w:t>CONCLUSÃO</w:t>
      </w:r>
    </w:p>
    <w:p w14:paraId="07882CE9" w14:textId="77777777" w:rsidR="001277BD" w:rsidRPr="005C15FB" w:rsidRDefault="001277BD" w:rsidP="001277BD">
      <w:pPr>
        <w:spacing w:before="60" w:after="60"/>
        <w:jc w:val="center"/>
        <w:rPr>
          <w:rFonts w:ascii="Calibri" w:eastAsia="Calibri" w:hAnsi="Calibri" w:cs="Calibri"/>
          <w:color w:val="333333"/>
          <w:lang w:val="pt-BR"/>
        </w:rPr>
      </w:pPr>
    </w:p>
    <w:p w14:paraId="1A228CF4" w14:textId="77777777" w:rsidR="001277BD" w:rsidRPr="005C15FB" w:rsidRDefault="001277BD" w:rsidP="001277BD">
      <w:pPr>
        <w:spacing w:before="60" w:after="60"/>
        <w:jc w:val="center"/>
        <w:rPr>
          <w:lang w:val="pt-BR"/>
        </w:rPr>
      </w:pPr>
      <w:r>
        <w:rPr>
          <w:rFonts w:ascii="Calibri" w:eastAsia="Calibri" w:hAnsi="Calibri" w:cs="Calibri"/>
          <w:color w:val="333333"/>
          <w:lang w:val="pt-BR"/>
        </w:rPr>
        <w:t>Fabrice Pizzi</w:t>
      </w:r>
    </w:p>
    <w:p w14:paraId="3A86389E" w14:textId="77777777" w:rsidR="001277BD" w:rsidRPr="005C15FB" w:rsidRDefault="001277BD" w:rsidP="001277BD">
      <w:pPr>
        <w:spacing w:before="60" w:after="60"/>
        <w:jc w:val="center"/>
        <w:rPr>
          <w:lang w:val="pt-BR"/>
        </w:rPr>
      </w:pPr>
      <w:r>
        <w:rPr>
          <w:rFonts w:ascii="Calibri" w:eastAsia="Calibri" w:hAnsi="Calibri" w:cs="Calibri"/>
          <w:color w:val="333333"/>
          <w:lang w:val="pt-BR"/>
        </w:rPr>
        <w:t>Universidade Sorbonne</w:t>
      </w:r>
    </w:p>
    <w:p w14:paraId="4A36E648" w14:textId="77777777" w:rsidR="001277BD" w:rsidRPr="00A26B51" w:rsidRDefault="001277BD" w:rsidP="001277BD">
      <w:pPr>
        <w:spacing w:before="60" w:after="60"/>
        <w:jc w:val="center"/>
        <w:rPr>
          <w:lang w:val="pt-BR"/>
        </w:rPr>
      </w:pPr>
      <w:r>
        <w:rPr>
          <w:rFonts w:ascii="Calibri" w:eastAsia="Calibri" w:hAnsi="Calibri" w:cs="Calibri"/>
          <w:color w:val="333333"/>
          <w:lang w:val="pt-BR"/>
        </w:rPr>
        <w:t>Mestrado em Inteligência Econômica — Intelligence Warfare</w:t>
      </w:r>
    </w:p>
    <w:p w14:paraId="372D2CAD" w14:textId="77777777" w:rsidR="001277BD" w:rsidRPr="00E02432" w:rsidRDefault="001277BD" w:rsidP="001277BD">
      <w:pPr>
        <w:shd w:val="clear" w:color="auto" w:fill="F0F3F6"/>
        <w:spacing w:before="200" w:after="120"/>
        <w:ind w:left="1440" w:right="1440"/>
        <w:jc w:val="center"/>
        <w:rPr>
          <w:lang w:val="pt-BR"/>
        </w:rPr>
      </w:pPr>
    </w:p>
    <w:p w14:paraId="5B17BE7D" w14:textId="77777777" w:rsidR="001277BD" w:rsidRPr="00E02432" w:rsidRDefault="001277BD" w:rsidP="001277BD">
      <w:pPr>
        <w:shd w:val="clear" w:color="auto" w:fill="F0F3F6"/>
        <w:ind w:left="1440" w:right="1440"/>
        <w:jc w:val="center"/>
        <w:rPr>
          <w:lang w:val="pt-BR"/>
        </w:rPr>
      </w:pPr>
      <w:r>
        <w:rPr>
          <w:rFonts w:ascii="Calibri" w:eastAsia="Calibri" w:hAnsi="Calibri" w:cs="Calibri"/>
          <w:b/>
          <w:bCs/>
          <w:color w:val="C0392B"/>
          <w:sz w:val="36"/>
          <w:szCs w:val="36"/>
          <w:lang w:val="pt-BR"/>
        </w:rPr>
        <w:t>72</w:t>
      </w:r>
      <w:r>
        <w:rPr>
          <w:lang w:val="pt-BR"/>
        </w:rPr>
        <w:t xml:space="preserve"> </w:t>
      </w:r>
      <w:r>
        <w:rPr>
          <w:rFonts w:ascii="Calibri" w:eastAsia="Calibri" w:hAnsi="Calibri" w:cs="Calibri"/>
          <w:color w:val="6B7B8D"/>
          <w:sz w:val="20"/>
          <w:szCs w:val="20"/>
          <w:lang w:val="pt-BR"/>
        </w:rPr>
        <w:t>computação IA global = EUA |</w:t>
      </w:r>
      <w:r>
        <w:rPr>
          <w:rFonts w:ascii="Calibri" w:eastAsia="Calibri" w:hAnsi="Calibri" w:cs="Calibri"/>
          <w:b/>
          <w:bCs/>
          <w:color w:val="C0392B"/>
          <w:sz w:val="36"/>
          <w:szCs w:val="36"/>
          <w:lang w:val="pt-BR"/>
        </w:rPr>
        <w:t xml:space="preserve"> 1.6×</w:t>
      </w:r>
      <w:r>
        <w:rPr>
          <w:rFonts w:ascii="Calibri" w:eastAsia="Calibri" w:hAnsi="Calibri" w:cs="Calibri"/>
          <w:color w:val="6B7B8D"/>
          <w:sz w:val="20"/>
          <w:szCs w:val="20"/>
          <w:lang w:val="pt-BR"/>
        </w:rPr>
        <w:t xml:space="preserve"> custo energia UE/EUA |</w:t>
      </w:r>
      <w:r>
        <w:rPr>
          <w:rFonts w:ascii="Calibri" w:eastAsia="Calibri" w:hAnsi="Calibri" w:cs="Calibri"/>
          <w:b/>
          <w:bCs/>
          <w:color w:val="2E86C1"/>
          <w:sz w:val="36"/>
          <w:szCs w:val="36"/>
          <w:lang w:val="pt-BR"/>
        </w:rPr>
        <w:t>3.4:1</w:t>
      </w:r>
      <w:r>
        <w:rPr>
          <w:rFonts w:ascii="Calibri" w:eastAsia="Calibri" w:hAnsi="Calibri" w:cs="Calibri"/>
          <w:color w:val="6B7B8D"/>
          <w:sz w:val="20"/>
          <w:szCs w:val="20"/>
          <w:lang w:val="pt-BR"/>
        </w:rPr>
        <w:t xml:space="preserve"> razão (modo Power)</w:t>
      </w:r>
      <w:r>
        <w:rPr>
          <w:sz w:val="40"/>
          <w:szCs w:val="40"/>
          <w:lang w:val="pt-BR"/>
        </w:rPr>
        <w:t xml:space="preserve"> </w:t>
      </w:r>
      <w:r>
        <w:rPr>
          <w:rFonts w:ascii="Calibri" w:eastAsia="Calibri" w:hAnsi="Calibri" w:cs="Calibri"/>
          <w:color w:val="6B7B8D"/>
          <w:sz w:val="20"/>
          <w:szCs w:val="20"/>
          <w:lang w:val="pt-BR"/>
        </w:rPr>
        <w:t>CACI EUA/EU</w:t>
      </w:r>
    </w:p>
    <w:p w14:paraId="38F3B2DA" w14:textId="77777777" w:rsidR="001277BD" w:rsidRPr="00E02432" w:rsidRDefault="001277BD" w:rsidP="001277BD">
      <w:pPr>
        <w:shd w:val="clear" w:color="auto" w:fill="F0F3F6"/>
        <w:spacing w:after="120"/>
        <w:ind w:left="1440" w:right="1440"/>
        <w:jc w:val="center"/>
        <w:rPr>
          <w:lang w:val="pt-BR"/>
        </w:rPr>
      </w:pPr>
    </w:p>
    <w:p w14:paraId="78212F2E" w14:textId="77777777" w:rsidR="001277BD" w:rsidRPr="00A26B51" w:rsidRDefault="001277BD" w:rsidP="001277BD">
      <w:pPr>
        <w:spacing w:before="200" w:after="100"/>
        <w:jc w:val="center"/>
        <w:rPr>
          <w:lang w:val="pt-BR"/>
        </w:rPr>
      </w:pPr>
      <w:r>
        <w:rPr>
          <w:rFonts w:ascii="Calibri" w:eastAsia="Calibri" w:hAnsi="Calibri" w:cs="Calibri"/>
          <w:lang w:val="pt-BR"/>
        </w:rPr>
        <w:t>Paris — Fevereiro 2026</w:t>
      </w:r>
    </w:p>
    <w:p w14:paraId="2C1BFDAF" w14:textId="77777777" w:rsidR="001277BD" w:rsidRPr="00A26B51" w:rsidRDefault="001277BD" w:rsidP="001277BD">
      <w:pPr>
        <w:spacing w:before="100" w:after="100"/>
        <w:jc w:val="center"/>
        <w:rPr>
          <w:lang w:val="pt-BR"/>
        </w:rPr>
      </w:pPr>
      <w:r>
        <w:rPr>
          <w:rFonts w:ascii="Calibri" w:eastAsia="Calibri" w:hAnsi="Calibri" w:cs="Calibri"/>
          <w:sz w:val="20"/>
          <w:szCs w:val="20"/>
          <w:lang w:val="pt-BR"/>
        </w:rPr>
        <w:t>7 capítulos • 4 cenários prospectivos • 3 zonas geográficas</w:t>
      </w:r>
    </w:p>
    <w:p w14:paraId="48DFF3B9" w14:textId="77777777" w:rsidR="001277BD" w:rsidRDefault="001277BD" w:rsidP="001277BD">
      <w:pPr>
        <w:spacing w:before="200" w:after="400"/>
        <w:rPr>
          <w:i/>
          <w:iCs/>
          <w:sz w:val="20"/>
          <w:szCs w:val="20"/>
          <w:lang w:val="pt-BR"/>
        </w:rPr>
      </w:pPr>
    </w:p>
    <w:p w14:paraId="5295CF2E" w14:textId="77777777" w:rsidR="001277BD" w:rsidRDefault="001277BD" w:rsidP="001277BD">
      <w:pPr>
        <w:spacing w:before="200" w:after="400"/>
        <w:rPr>
          <w:i/>
          <w:iCs/>
          <w:sz w:val="20"/>
          <w:szCs w:val="20"/>
          <w:lang w:val="pt-BR"/>
        </w:rPr>
      </w:pPr>
    </w:p>
    <w:p w14:paraId="583A02C8" w14:textId="77777777" w:rsidR="001277BD" w:rsidRDefault="001277BD" w:rsidP="001277BD">
      <w:pPr>
        <w:spacing w:before="200" w:after="400"/>
        <w:rPr>
          <w:i/>
          <w:iCs/>
          <w:sz w:val="20"/>
          <w:szCs w:val="20"/>
          <w:lang w:val="pt-BR"/>
        </w:rPr>
      </w:pPr>
    </w:p>
    <w:p w14:paraId="4489A226" w14:textId="77777777" w:rsidR="001277BD" w:rsidRDefault="001277BD" w:rsidP="001277BD">
      <w:pPr>
        <w:spacing w:before="200" w:after="400"/>
        <w:rPr>
          <w:i/>
          <w:iCs/>
          <w:sz w:val="20"/>
          <w:szCs w:val="20"/>
          <w:lang w:val="pt-BR"/>
        </w:rPr>
      </w:pPr>
    </w:p>
    <w:p w14:paraId="6F1E706E" w14:textId="77777777" w:rsidR="001277BD" w:rsidRDefault="001277BD" w:rsidP="001277BD">
      <w:pPr>
        <w:spacing w:before="200" w:after="400"/>
        <w:rPr>
          <w:i/>
          <w:iCs/>
          <w:sz w:val="20"/>
          <w:szCs w:val="20"/>
          <w:lang w:val="pt-BR"/>
        </w:rPr>
      </w:pPr>
    </w:p>
    <w:p w14:paraId="7DCC29FD" w14:textId="77777777" w:rsidR="001277BD" w:rsidRDefault="001277BD" w:rsidP="001277BD">
      <w:pPr>
        <w:spacing w:before="200" w:after="400"/>
        <w:rPr>
          <w:i/>
          <w:iCs/>
          <w:sz w:val="20"/>
          <w:szCs w:val="20"/>
          <w:lang w:val="pt-BR"/>
        </w:rPr>
      </w:pPr>
    </w:p>
    <w:p w14:paraId="1C73BCD5" w14:textId="77777777" w:rsidR="001277BD" w:rsidRPr="00A26B51" w:rsidRDefault="001277BD" w:rsidP="001277BD">
      <w:pPr>
        <w:spacing w:before="200" w:after="400"/>
        <w:rPr>
          <w:lang w:val="pt-BR"/>
        </w:rPr>
      </w:pPr>
      <w:r>
        <w:rPr>
          <w:i/>
          <w:iCs/>
          <w:sz w:val="20"/>
          <w:szCs w:val="20"/>
          <w:lang w:val="pt-BR"/>
        </w:rPr>
        <w:t>P</w:t>
      </w:r>
      <w:r>
        <w:rPr>
          <w:rFonts w:ascii="Calibri" w:eastAsia="Calibri" w:hAnsi="Calibri" w:cs="Calibri"/>
          <w:i/>
          <w:iCs/>
          <w:sz w:val="20"/>
          <w:szCs w:val="20"/>
          <w:lang w:val="pt-BR"/>
        </w:rPr>
        <w:t>alavras-chave: inteligência artificial, protecionismo tecnológico, semicondutores, controles de exportação, compute soberano, geopolítica da IA, França, Estados Unidos, China</w:t>
      </w:r>
    </w:p>
    <w:p w14:paraId="1F1FFCD7" w14:textId="77777777" w:rsidR="001277BD" w:rsidRPr="001277BD" w:rsidRDefault="001277BD" w:rsidP="001277BD">
      <w:pPr>
        <w:spacing w:before="200" w:after="400"/>
        <w:rPr>
          <w:lang w:val="pt-BR"/>
        </w:rPr>
      </w:pPr>
    </w:p>
    <w:p w14:paraId="29338632" w14:textId="77777777" w:rsidR="001277BD" w:rsidRPr="001277BD" w:rsidRDefault="001277BD" w:rsidP="001277BD">
      <w:pPr>
        <w:shd w:val="clear" w:color="auto" w:fill="D4AC0D"/>
        <w:rPr>
          <w:lang w:val="pt-BR"/>
        </w:rPr>
        <w:sectPr w:rsidR="001277BD" w:rsidRPr="001277BD" w:rsidSect="001277BD">
          <w:footerReference w:type="default" r:id="rId7"/>
          <w:pgSz w:w="11906" w:h="16838"/>
          <w:pgMar w:top="1134" w:right="1134" w:bottom="1134" w:left="1134" w:header="0" w:footer="0" w:gutter="0"/>
          <w:cols w:space="720"/>
          <w:formProt w:val="0"/>
          <w:docGrid w:linePitch="100"/>
        </w:sectPr>
      </w:pPr>
      <w:r>
        <w:rPr>
          <w:sz w:val="28"/>
          <w:szCs w:val="28"/>
          <w:lang w:val="pt-BR"/>
        </w:rPr>
        <w:t xml:space="preserve"> </w:t>
      </w:r>
    </w:p>
    <w:p w14:paraId="062D7976" w14:textId="03676BC0" w:rsidR="002F5A21" w:rsidRPr="00750489" w:rsidRDefault="002F5A21">
      <w:pPr>
        <w:rPr>
          <w:lang w:val="pt-BR"/>
        </w:rPr>
      </w:pPr>
    </w:p>
    <w:p w14:paraId="199945BD" w14:textId="77777777" w:rsidR="002F5A21" w:rsidRPr="00750489" w:rsidRDefault="00000000">
      <w:pPr>
        <w:spacing w:after="80"/>
        <w:rPr>
          <w:lang w:val="pt-BR"/>
        </w:rPr>
      </w:pPr>
      <w:r>
        <w:rPr>
          <w:b/>
          <w:bCs/>
          <w:color w:val="1B3A5C"/>
          <w:sz w:val="30"/>
          <w:szCs w:val="30"/>
          <w:lang w:val="pt-BR"/>
        </w:rPr>
        <w:t>CONCLUSÃO GERAL</w:t>
      </w:r>
    </w:p>
    <w:p w14:paraId="28151B09" w14:textId="77777777" w:rsidR="002F5A21" w:rsidRPr="00750489" w:rsidRDefault="00000000">
      <w:pPr>
        <w:spacing w:after="80"/>
        <w:rPr>
          <w:lang w:val="pt-BR"/>
        </w:rPr>
      </w:pPr>
      <w:r>
        <w:rPr>
          <w:b/>
          <w:bCs/>
          <w:color w:val="1B3A5C"/>
          <w:sz w:val="30"/>
          <w:szCs w:val="30"/>
          <w:lang w:val="pt-BR"/>
        </w:rPr>
        <w:t>Do protecionismo em IA à recomposição da ordem tecnológica mundial</w:t>
      </w:r>
    </w:p>
    <w:p w14:paraId="4CBAE4A9" w14:textId="77777777" w:rsidR="002F5A21" w:rsidRPr="00750489" w:rsidRDefault="002F5A21">
      <w:pPr>
        <w:pBdr>
          <w:bottom w:val="single" w:sz="4" w:space="1" w:color="1B3A5C"/>
        </w:pBdr>
        <w:spacing w:before="60" w:after="200"/>
        <w:rPr>
          <w:lang w:val="pt-BR"/>
        </w:rPr>
      </w:pPr>
    </w:p>
    <w:p w14:paraId="38E310AB" w14:textId="77777777" w:rsidR="002F5A21" w:rsidRPr="00750489" w:rsidRDefault="00000000">
      <w:pPr>
        <w:pStyle w:val="Titre1"/>
        <w:rPr>
          <w:lang w:val="pt-BR"/>
        </w:rPr>
      </w:pPr>
      <w:r>
        <w:rPr>
          <w:lang w:val="pt-BR"/>
        </w:rPr>
        <w:t>1. Validação da hipótese central</w:t>
      </w:r>
    </w:p>
    <w:p w14:paraId="7A0351D3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Este estudo partiu de uma hipótese precisa: a administração Trump 2.0 transformaria os controles de exportação de Biden em um regime protecionista mais amplo, utilizando o compute de IA como instrumento de poder econômico e geopolítico — um decreto implícito “AI for Americans First”. A análise empírica conduzida no período 2022–2026 valida esta hipótese de maneira substancial.</w:t>
      </w:r>
    </w:p>
    <w:p w14:paraId="6C670675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Em 15 de janeiro de 2026, a administração Trump promulgou simultaneamente uma tarifa de 25% (Seção 232) sobre semicondutores avançados de IA (Nvidia H200, AMD MI325X) para reexportações à China, e publicou a regra final do BIS que rege as exportações de chips de IA. A combinação tarifas + controles de exportação constitui precisamente o mecanismo híbrido que antecipávamos: uma “taxa” sobre o acesso ao compute de ponta que gera receitas para o Tesouro americano enquanto desacelera os concorrentes, combinada com acesso doméstico ilimitado que reforça a vantagem competitiva das Big Techs americanas.¹</w:t>
      </w:r>
    </w:p>
    <w:p w14:paraId="476FAB9E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Além disso, o AI Action Plan de julho de 2025 formaliza uma doutrina que vai além dos simples controles de segurança nacional: “exportar o stack completo de IA (hardware, modelos, software, aplicações e padrões) aos países dispostos a integrar a aliança americana de IA”, sob condição de conformidade com as exigências de segurança dos EUA.² A IA não é mais tratada como uma tecnologia entre outras, mas como um instrumento de projeção de poder análogo ao dólar no sistema monetário ou ao petróleo no sistema energético.</w:t>
      </w:r>
    </w:p>
    <w:p w14:paraId="2217A2A5" w14:textId="77777777" w:rsidR="002F5A21" w:rsidRPr="00750489" w:rsidRDefault="00000000">
      <w:pPr>
        <w:pStyle w:val="Titre1"/>
        <w:rPr>
          <w:lang w:val="pt-BR"/>
        </w:rPr>
      </w:pPr>
      <w:r>
        <w:rPr>
          <w:lang w:val="pt-BR"/>
        </w:rPr>
        <w:t>2. Síntese dos resultados</w:t>
      </w:r>
    </w:p>
    <w:p w14:paraId="7FC74A09" w14:textId="77777777" w:rsidR="002F5A21" w:rsidRPr="00750489" w:rsidRDefault="00000000">
      <w:pPr>
        <w:pStyle w:val="Titre2"/>
        <w:rPr>
          <w:lang w:val="pt-BR"/>
        </w:rPr>
      </w:pPr>
      <w:r>
        <w:rPr>
          <w:lang w:val="pt-BR"/>
        </w:rPr>
        <w:t>2.1 Uma vantagem competitiva americana mensurável e crescente</w:t>
      </w:r>
    </w:p>
    <w:p w14:paraId="1B704105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O índice CACI (Compute-Adjusted Competitive Index) desenvolvido neste estudo permite quantificar a assimetria estrutural. A razão CACI(EUA)/CACI(UE) situa-se em 3.4:1 (modo Power) em 2026, refletindo a concentração de 74% do compute de IA mundial nos Estados Unidos, um capex anual dos hyperscalers de US$ 660–690 bilhões (superior ao PIB da Suécia), e um custo de treinamento dos modelos frontier 5 a 10 vezes inferior ao custo europeu. A vantagem é autorreforçante: as empresas com acesso abundante ao compute capturam rendas de inovação e dados que são muito difíceis de recuperar posteriormente (Capítulo IV).</w:t>
      </w:r>
    </w:p>
    <w:p w14:paraId="3C7B1922" w14:textId="77777777" w:rsidR="002F5A21" w:rsidRPr="00750489" w:rsidRDefault="00000000">
      <w:pPr>
        <w:pStyle w:val="Titre2"/>
        <w:rPr>
          <w:lang w:val="pt-BR"/>
        </w:rPr>
      </w:pPr>
      <w:r>
        <w:rPr>
          <w:lang w:val="pt-BR"/>
        </w:rPr>
        <w:t>2.2 Uma arquitetura protecionista de três níveis</w:t>
      </w:r>
    </w:p>
    <w:p w14:paraId="59800FA8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A análise revela que o protecionismo americano em IA opera em três níveis distintos, porém cumulativos:</w:t>
      </w:r>
    </w:p>
    <w:p w14:paraId="20E585DC" w14:textId="77777777" w:rsidR="002F5A21" w:rsidRPr="00750489" w:rsidRDefault="00000000">
      <w:pPr>
        <w:spacing w:after="120"/>
        <w:ind w:left="360"/>
        <w:rPr>
          <w:lang w:val="pt-BR"/>
        </w:rPr>
      </w:pPr>
      <w:r>
        <w:rPr>
          <w:lang w:val="pt-BR"/>
        </w:rPr>
        <w:t>Primeiro nível: os controles de exportação (herdados de Biden, mantidos e transformados por Trump). O sistema de níveis (Tier 1/2/3) segmenta o mundo de acordo com o alinhamento geopolítico: acesso livre para aliados próximos (20 países), limites quantitativos para o resto do mundo, proibição para adversários (China, Rússia). Mesmo após a revogação formal da AI Diffusion Rule em maio de 2025, a incerteza regulatória pesa sobre as decisões de investimento dos países Tier 2 (Capítulo III).</w:t>
      </w:r>
    </w:p>
    <w:p w14:paraId="204D1CFE" w14:textId="77777777" w:rsidR="002F5A21" w:rsidRPr="00750489" w:rsidRDefault="00000000">
      <w:pPr>
        <w:spacing w:after="120"/>
        <w:ind w:left="360"/>
        <w:rPr>
          <w:lang w:val="pt-BR"/>
        </w:rPr>
      </w:pPr>
      <w:r>
        <w:rPr>
          <w:lang w:val="pt-BR"/>
        </w:rPr>
        <w:lastRenderedPageBreak/>
        <w:t>Segundo nível: as tarifas aduaneiras (inovação Trump). A tarifa de 25% sobre semicondutores avançados de IA (Seção 232, janeiro de 2026) constitui uma ruptura: os controles de exportação visavam a segurança nacional, as tarifas visam explicitamente receitas e vantagem competitiva. A combinação tarifas + isenções domésticas cria um diferencial de custo direto entre empresas americanas e não americanas (Capítulo V).</w:t>
      </w:r>
    </w:p>
    <w:p w14:paraId="495E0E78" w14:textId="77777777" w:rsidR="002F5A21" w:rsidRPr="00750489" w:rsidRDefault="00000000">
      <w:pPr>
        <w:spacing w:after="120"/>
        <w:ind w:left="360"/>
        <w:rPr>
          <w:lang w:val="pt-BR"/>
        </w:rPr>
      </w:pPr>
      <w:r>
        <w:rPr>
          <w:lang w:val="pt-BR"/>
        </w:rPr>
        <w:t>Terceiro nível: a gravidade capitalista. A concentração do capex (US$ 660–690 bilhões em cinco empresas em 2026), combinada com o acesso energético (os EUA aceitam maior dependência de combustíveis fósseis, 53,7 GW de capacidade DC instalada), cria um efeito gravitacional: investimentos japoneses (US$ 550 bilhões), dos Emirados, da SoftBank/Stargate convergem para o solo americano, reforçando o hub de compute sem intervenção regulatória adicional (Capítulo VI ter).</w:t>
      </w:r>
    </w:p>
    <w:p w14:paraId="385DF566" w14:textId="77777777" w:rsidR="002F5A21" w:rsidRPr="00750489" w:rsidRDefault="00000000">
      <w:pPr>
        <w:pStyle w:val="Titre2"/>
        <w:rPr>
          <w:lang w:val="pt-BR"/>
        </w:rPr>
      </w:pPr>
      <w:r>
        <w:rPr>
          <w:lang w:val="pt-BR"/>
        </w:rPr>
        <w:t>2.3 Consequências diferenciadas por região</w:t>
      </w:r>
    </w:p>
    <w:p w14:paraId="079C21CD" w14:textId="77777777" w:rsidR="002F5A21" w:rsidRPr="00750489" w:rsidRDefault="00000000">
      <w:pPr>
        <w:spacing w:after="120"/>
        <w:jc w:val="center"/>
        <w:rPr>
          <w:lang w:val="pt-BR"/>
        </w:rPr>
      </w:pPr>
      <w:r>
        <w:rPr>
          <w:i/>
          <w:iCs/>
          <w:color w:val="666666"/>
          <w:sz w:val="18"/>
          <w:szCs w:val="18"/>
          <w:lang w:val="pt-BR"/>
        </w:rPr>
        <w:t>Tabela 18. Síntese das consequências regionais do protecionismo americano em IA. Fonte: autor.</w:t>
      </w:r>
    </w:p>
    <w:p w14:paraId="0BC95D7D" w14:textId="77777777" w:rsidR="002F5A21" w:rsidRPr="00750489" w:rsidRDefault="00000000">
      <w:pPr>
        <w:pStyle w:val="Titre1"/>
        <w:rPr>
          <w:lang w:val="pt-BR"/>
        </w:rPr>
      </w:pPr>
      <w:r>
        <w:rPr>
          <w:lang w:val="pt-BR"/>
        </w:rPr>
        <w:t>3. Contribuições deste estudo</w:t>
      </w:r>
    </w:p>
    <w:p w14:paraId="471437BC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Esta pesquisa traz quatro contribuições à literatura econômica e geoestratégica.</w:t>
      </w:r>
    </w:p>
    <w:p w14:paraId="6DAB1165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Primeiramente, a integração analítica de trajetórias habitualmente tratadas separadamente — energia, semicondutores, compute, regulação, produtividade — em um quadro unificado. Como observa o diagnóstico inicial, a maioria dos trabalhos acadêmicos trata essas dimensões separadamente; nossa análise mostra que elas formam um sistema de interdependências onde cada restrição amplifica as demais (a energia restringe o compute, o compute restringe a produtividade, a produtividade determina a competitividade).</w:t>
      </w:r>
    </w:p>
    <w:p w14:paraId="56C73152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Em segundo lugar, a proposição do índice CACI (Compute-Adjusted Competitive Index), que oferece um quadro de medição para comparar a competitividade em IA entre regiões, integrando FLOPs disponíveis, custo energético, capital humano e acesso regulatório. Embora este índice ainda precise ser refinado empiricamente, constitui uma primeira tentativa de sintetizar o conceito de “competitividade ajustada ao compute” identificado como ausente na literatura (Capítulo II).</w:t>
      </w:r>
    </w:p>
    <w:p w14:paraId="32BC0AB4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Em terceiro lugar, a demonstração de que o protecionismo americano em IA produz efeitos paradoxais sistêmicos. As restrições destinadas a manter a vantagem americana aceleram a construção de um ecossistema chinês alternativo (DeepSeek, Huawei Ascend), empurram os países Tier 2 em direção à China (ByteDance no Brasil, na ASEAN), e incentivam os aliados Tier 1 a cofinanciar a supremacia americana em vez de construir uma autonomia verdadeira (Japão: US$ 550 bilhões direcionados aos EUA). O protecionismo em IA não produz um mundo unipolar, mas um mundo fragmentado em blocos tecnológicos.</w:t>
      </w:r>
    </w:p>
    <w:p w14:paraId="72F37527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Em quarto lugar, a análise comparativa inédita das respostas regionais ao protecionismo em IA (Europa, América do Sul, Ásia), mostrando que a posição geopolítica, a dotação energética e a proximidade com as cadeias de valor determinam trajetórias de dependência fundamentalmente diferentes, irredutíveis a um modelo único de “recuperação” ou “descolamento”.</w:t>
      </w:r>
    </w:p>
    <w:p w14:paraId="00E24A3D" w14:textId="77777777" w:rsidR="002F5A21" w:rsidRPr="00750489" w:rsidRDefault="00000000">
      <w:pPr>
        <w:pStyle w:val="Titre1"/>
        <w:rPr>
          <w:lang w:val="pt-BR"/>
        </w:rPr>
      </w:pPr>
      <w:r>
        <w:rPr>
          <w:lang w:val="pt-BR"/>
        </w:rPr>
        <w:t>4. Limites e pistas de pesquisa</w:t>
      </w:r>
    </w:p>
    <w:p w14:paraId="0446BD63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Este estudo apresenta vários limites que devem ser explicitados.</w:t>
      </w:r>
    </w:p>
    <w:p w14:paraId="28DC2D6C" w14:textId="77777777" w:rsidR="002F5A21" w:rsidRPr="00750489" w:rsidRDefault="00000000">
      <w:pPr>
        <w:spacing w:after="120"/>
        <w:rPr>
          <w:lang w:val="pt-BR"/>
        </w:rPr>
      </w:pPr>
      <w:r>
        <w:rPr>
          <w:b/>
          <w:bCs/>
          <w:lang w:val="pt-BR"/>
        </w:rPr>
        <w:t xml:space="preserve">Incerteza regulatória. </w:t>
      </w:r>
      <w:r>
        <w:rPr>
          <w:lang w:val="pt-BR"/>
        </w:rPr>
        <w:t>O ambiente dos controles de exportação evolui rapidamente. A AI Diffusion Rule de Biden foi revogada em maio de 2025; a regra final de Trump de janeiro de 2026 poderia ela mesma ser modificada (o Commerce deve fornecer uma atualização ao Presidente até julho de 2026). Os cenários propostos no Capítulo V refletem esta incerteza, mas o espaço de possibilidades é mais amplo do que os quatro cenários formalizados.</w:t>
      </w:r>
    </w:p>
    <w:p w14:paraId="21C75EE3" w14:textId="77777777" w:rsidR="002F5A21" w:rsidRPr="00750489" w:rsidRDefault="00000000">
      <w:pPr>
        <w:spacing w:after="120"/>
        <w:rPr>
          <w:lang w:val="pt-BR"/>
        </w:rPr>
      </w:pPr>
      <w:r>
        <w:rPr>
          <w:b/>
          <w:bCs/>
          <w:lang w:val="pt-BR"/>
        </w:rPr>
        <w:lastRenderedPageBreak/>
        <w:t xml:space="preserve">Dados fragmentados. </w:t>
      </w:r>
      <w:r>
        <w:rPr>
          <w:lang w:val="pt-BR"/>
        </w:rPr>
        <w:t>Os dados de compute de IA por região são incompletos. As estimativas de capacidade de computação (FLOPs, número de GPUs) baseiam-se em fontes heterogêneas (Epoch AI, CFG, McKinsey) que nem sempre convergem. O CACI é um índice exploratório, não um indicador calibrado em séries temporais longas.</w:t>
      </w:r>
    </w:p>
    <w:p w14:paraId="788FEC10" w14:textId="77777777" w:rsidR="002F5A21" w:rsidRPr="00750489" w:rsidRDefault="00000000">
      <w:pPr>
        <w:spacing w:after="120"/>
        <w:rPr>
          <w:lang w:val="pt-BR"/>
        </w:rPr>
      </w:pPr>
      <w:r>
        <w:rPr>
          <w:b/>
          <w:bCs/>
          <w:lang w:val="pt-BR"/>
        </w:rPr>
        <w:t xml:space="preserve">Horizonte temporal. </w:t>
      </w:r>
      <w:r>
        <w:rPr>
          <w:lang w:val="pt-BR"/>
        </w:rPr>
        <w:t>A análise abrange 2026–2030, mas rupturas tecnológicas (computação quântica, nós sub-2 nm, arquiteturas neuromórficas) poderiam redistribuir as cartas após 2030. A vantagem atual da Nvidia em GPUs poderia ser contestada por ASICs especializados (Google TPU, Amazon Trainium, Huawei Ascend) ou arquiteturas radicalmente diferentes.</w:t>
      </w:r>
    </w:p>
    <w:p w14:paraId="44600FD8" w14:textId="77777777" w:rsidR="002F5A21" w:rsidRPr="00750489" w:rsidRDefault="00000000">
      <w:pPr>
        <w:spacing w:after="120"/>
        <w:rPr>
          <w:lang w:val="pt-BR"/>
        </w:rPr>
      </w:pPr>
      <w:r>
        <w:rPr>
          <w:b/>
          <w:bCs/>
          <w:lang w:val="pt-BR"/>
        </w:rPr>
        <w:t xml:space="preserve">Pistas de pesquisa futuras. </w:t>
      </w:r>
      <w:r>
        <w:rPr>
          <w:lang w:val="pt-BR"/>
        </w:rPr>
        <w:t>Três extensões se impõem: a calibração empírica do CACI com dados de pesquisa (produtividade setorial por acesso ao compute), a extensão da análise à África (continente ausente deste estudo, mas onde a competição EUA-China em infraestrutura de IA é crescente), e a modelagem dinâmica da interação energia-compute-produtividade via modelos de equilíbrio geral computável (CGE) integrando as restrições de compute como fator de produção.</w:t>
      </w:r>
    </w:p>
    <w:p w14:paraId="344CB49A" w14:textId="77777777" w:rsidR="002F5A21" w:rsidRPr="00750489" w:rsidRDefault="00000000">
      <w:pPr>
        <w:pStyle w:val="Titre1"/>
        <w:rPr>
          <w:lang w:val="pt-BR"/>
        </w:rPr>
      </w:pPr>
      <w:r>
        <w:rPr>
          <w:lang w:val="pt-BR"/>
        </w:rPr>
        <w:t>5. A questão civilizacional</w:t>
      </w:r>
    </w:p>
    <w:p w14:paraId="7DB93755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Além das métricas econômicas e dos cenários geopolíticos, este estudo revela uma questão mais fundamental. O compute de IA está prestes a se tornar o quarto fator de produção (após o capital, o trabalho e a terra/energia), estruturando o acesso aos ganhos de produtividade, à inovação e, em última instância, à prosperidade. Assim como o petróleo no século XX, o controle do compute no século XXI determinará quais nações e empresas capturam as rendas da inovação.</w:t>
      </w:r>
    </w:p>
    <w:p w14:paraId="458CAB58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Os Estados Unidos compreenderam isso. O AI Action Plan de julho de 2025 trata explicitamente o stack de IA como um instrumento de aliança geopolítica, comparável ao Plano Marshall ou ao sistema de Bretton Woods: o acesso ao compute americano é condicionado ao alinhamento estratégico, criando um sistema de dependências hierarquizadas. Carnegie observa que a regra visava “utilizar as exportações de IA como alavanca sobre os Estados-pivô geopolíticos, estabelecendo incentivos para que outros governos adotem os padrões e proteções tecnológicas americanos em troca de chips americanos.”³</w:t>
      </w:r>
    </w:p>
    <w:p w14:paraId="4096255D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Diante deste novo sistema, a França e a Europa dispõem de uma escolha estratégica que se resume, no fundo, a três opções. A primeira é a integração subordinada: aceitar o status de “parceiro junior” tecnológico no bloco americano, como o Japão escolheu ao investir US$ 550 bilhões em solo americano. Esta opção minimiza o risco de ruptura de acesso, mas maximiza a dependência. A segunda é o confronto soberanista: construir um ecossistema de IA inteiramente autônomo, como a China é obrigada a fazer. Esta opção é irrealista no horizonte de 2030 para a Europa, que não dispõe nem da base industrial de semicondutores nem da capacidade de mercado interno suficientes.</w:t>
      </w:r>
    </w:p>
    <w:p w14:paraId="5B2424D2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A terceira opção — aquela que este estudo recomenda — é a autonomia estratégica direcionada. Consiste em construir uma soberania sobre os segmentos onde a Europa possui vantagem comparativa (energia nuclear, equipamentos de litografia ASML, modelos de IA abertos Mistral, marco regulatório AI Act) mantendo a interoperabilidade com o ecossistema americano. O objetivo não é a autarquia, mas a capacidade de escolha: dispor de alternativas credíveis (nuvem soberana, compute local, modelos abertos) para nunca ficar cativo de um fornecedor cujos interesses geopolíticos possam divergir dos nossos.</w:t>
      </w:r>
    </w:p>
    <w:p w14:paraId="14A5636F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 xml:space="preserve">O tempo urge. O ponto de virada energético e de compute identificado neste estudo situa-se em 2028: após esta data, as posições se cristalizam e as dependências tornam-se estruturais. A janela de ação estratégica 2026–2028 é estreita. Os 109 bilhões de euros de investimentos em IA anunciados para a França, o programa InvestAI de 200 bilhões de euros, a expansão do Mistral Compute e os sites nucleares EDF dedicados constituem os </w:t>
        <w:lastRenderedPageBreak/>
        <w:t>elementos de uma resposta. Mas entre o anúncio e a execução, há a distância que separa a estratégia da realidade. A Índia promete US$ 200 bilhões, mas dispõe de apenas 1,4 GW instalados. A Europa não pode se permitir uma lacuna comparável entre ambição e realização.</w:t>
      </w:r>
    </w:p>
    <w:p w14:paraId="27E45651" w14:textId="77777777" w:rsidR="002F5A21" w:rsidRPr="00750489" w:rsidRDefault="00000000">
      <w:pPr>
        <w:spacing w:after="120"/>
        <w:rPr>
          <w:lang w:val="pt-BR"/>
        </w:rPr>
      </w:pPr>
      <w:r>
        <w:rPr>
          <w:lang w:val="pt-BR"/>
        </w:rPr>
        <w:t>Em última análise, “AI for Americans First” não é apenas um cenário de política comercial. É o sinal de uma recomposição da ordem tecnológica mundial comparável às grandes reestruturações do século XX — Bretton Woods, o choque do petróleo, o fim da Guerra Fria. Cada uma dessas rupturas criou vencedores e perdedores por décadas. A questão para a França e a Europa não é mais saber se essa recomposição acontecerá — ela está em curso — mas determinar se seremos seus arquitetos ou seus sujeitos.</w:t>
      </w:r>
    </w:p>
    <w:p w14:paraId="7DD035B7" w14:textId="77777777" w:rsidR="002F5A21" w:rsidRPr="00750489" w:rsidRDefault="00000000">
      <w:pPr>
        <w:spacing w:before="200" w:after="200"/>
        <w:jc w:val="right"/>
        <w:rPr>
          <w:lang w:val="pt-BR"/>
        </w:rPr>
      </w:pPr>
      <w:r>
        <w:rPr>
          <w:i/>
          <w:iCs/>
          <w:color w:val="555555"/>
          <w:lang w:val="pt-BR"/>
        </w:rPr>
        <w:t>— Fabrice, Paris, fevereiro de 2026</w:t>
      </w:r>
    </w:p>
    <w:p w14:paraId="37A9BAF2" w14:textId="77777777" w:rsidR="002F5A21" w:rsidRPr="00750489" w:rsidRDefault="002F5A21">
      <w:pPr>
        <w:pBdr>
          <w:bottom w:val="single" w:sz="4" w:space="1" w:color="1B3A5C"/>
        </w:pBdr>
        <w:spacing w:before="100" w:after="100"/>
        <w:rPr>
          <w:lang w:val="pt-BR"/>
        </w:rPr>
      </w:pPr>
    </w:p>
    <w:p w14:paraId="0575AD5C" w14:textId="77777777" w:rsidR="002F5A21" w:rsidRPr="00750489" w:rsidRDefault="00000000">
      <w:pPr>
        <w:pStyle w:val="Titre1"/>
        <w:spacing w:before="200" w:after="120"/>
        <w:rPr>
          <w:lang w:val="pt-BR"/>
        </w:rPr>
      </w:pPr>
      <w:r>
        <w:rPr>
          <w:lang w:val="pt-BR"/>
        </w:rPr>
        <w:t>Notas</w:t>
      </w:r>
    </w:p>
    <w:p w14:paraId="0E8854ED" w14:textId="77777777" w:rsidR="002F5A21" w:rsidRPr="00750489" w:rsidRDefault="00000000">
      <w:pPr>
        <w:spacing w:after="80"/>
        <w:rPr>
          <w:lang w:val="pt-BR"/>
        </w:rPr>
      </w:pPr>
      <w:r>
        <w:rPr>
          <w:color w:val="555555"/>
          <w:sz w:val="18"/>
          <w:szCs w:val="18"/>
          <w:lang w:val="pt-BR"/>
        </w:rPr>
        <w:t>1 Pillsbury Law (janeiro de 2026), "Trump Admin Targets Advanced AI Semiconductors." Seção 232: tarifa de 25% sobre Nvidia H200, AMD MI325X para reexportação à China. Isenções domésticas EUA. Regra final do BIS simultânea. Atualização de mercado DC prevista para julho de 2026.</w:t>
      </w:r>
    </w:p>
    <w:p w14:paraId="1F2ECBE9" w14:textId="77777777" w:rsidR="002F5A21" w:rsidRPr="00750489" w:rsidRDefault="00000000">
      <w:pPr>
        <w:spacing w:after="80"/>
        <w:rPr>
          <w:lang w:val="pt-BR"/>
        </w:rPr>
      </w:pPr>
      <w:r>
        <w:rPr>
          <w:color w:val="555555"/>
          <w:sz w:val="18"/>
          <w:szCs w:val="18"/>
          <w:lang w:val="en-US"/>
        </w:rPr>
        <w:t xml:space="preserve">2 White House / CM Trade Law (julho de 2025), "America's AI Action Plan." </w:t>
      </w:r>
      <w:r>
        <w:rPr>
          <w:color w:val="555555"/>
          <w:sz w:val="18"/>
          <w:szCs w:val="18"/>
          <w:lang w:val="pt-BR"/>
        </w:rPr>
        <w:t>Pilar III: exportar o "full AI technology stack" aos aliados. Quatro princípios: exportação aos aliados, reforço do enforcement, alinhamento global, medidas de proteção.</w:t>
      </w:r>
    </w:p>
    <w:p w14:paraId="61516BE1" w14:textId="77777777" w:rsidR="002F5A21" w:rsidRPr="00750489" w:rsidRDefault="00000000">
      <w:pPr>
        <w:spacing w:after="80"/>
        <w:rPr>
          <w:lang w:val="pt-BR"/>
        </w:rPr>
      </w:pPr>
      <w:r>
        <w:rPr>
          <w:color w:val="555555"/>
          <w:sz w:val="18"/>
          <w:szCs w:val="18"/>
          <w:lang w:val="en-US"/>
        </w:rPr>
        <w:t xml:space="preserve">3 Carnegie Endowment for International Peace (maio de 2025), "The Trump Administration May Be About to Repeal the AI Diffusion Rule." </w:t>
      </w:r>
      <w:r>
        <w:rPr>
          <w:color w:val="555555"/>
          <w:sz w:val="18"/>
          <w:szCs w:val="18"/>
          <w:lang w:val="pt-BR"/>
        </w:rPr>
        <w:t>Análise do trilema controle/promoção/alavanca. Recomendação: expandir o grupo Tier 1, aumentar as alocações para a Índia, reforçar as exigências de localização.</w:t>
      </w:r>
    </w:p>
    <w:p w14:paraId="0BA48676" w14:textId="77777777" w:rsidR="002F5A21" w:rsidRPr="00750489" w:rsidRDefault="00000000">
      <w:pPr>
        <w:spacing w:before="200"/>
        <w:rPr>
          <w:lang w:val="pt-BR"/>
        </w:rPr>
      </w:pPr>
      <w:r>
        <w:rPr>
          <w:lang w:val="pt-BR"/>
        </w:rPr>
        <w:br w:type="page"/>
      </w:r>
    </w:p>
    <w:p w14:paraId="41C709AD" w14:textId="77777777" w:rsidR="002F5A21" w:rsidRPr="00750489" w:rsidRDefault="00000000">
      <w:pPr>
        <w:pStyle w:val="Titre1"/>
        <w:spacing w:before="200" w:after="120"/>
        <w:rPr>
          <w:lang w:val="pt-BR"/>
        </w:rPr>
      </w:pPr>
      <w:r>
        <w:rPr>
          <w:lang w:val="pt-BR"/>
        </w:rPr>
        <w:lastRenderedPageBreak/>
        <w:t>Visão geral do estudo</w:t>
      </w:r>
    </w:p>
    <w:p w14:paraId="0BCAFD27" w14:textId="77777777" w:rsidR="002F5A21" w:rsidRPr="00750489" w:rsidRDefault="00000000">
      <w:pPr>
        <w:spacing w:after="120"/>
        <w:jc w:val="center"/>
        <w:rPr>
          <w:lang w:val="pt-BR"/>
        </w:rPr>
      </w:pPr>
      <w:r>
        <w:rPr>
          <w:i/>
          <w:iCs/>
          <w:color w:val="666666"/>
          <w:sz w:val="18"/>
          <w:szCs w:val="18"/>
          <w:lang w:val="pt-BR"/>
        </w:rPr>
        <w:t>Tabela 19. Resumo dos capítulos, volume e aparato crítico do estudo.</w:t>
      </w:r>
    </w:p>
    <w:p w14:paraId="055E89B4" w14:textId="77777777" w:rsidR="002F5A21" w:rsidRPr="00750489" w:rsidRDefault="00000000">
      <w:pPr>
        <w:spacing w:before="120"/>
        <w:rPr>
          <w:lang w:val="en-US"/>
        </w:rPr>
      </w:pPr>
      <w:r>
        <w:rPr>
          <w:color w:val="555555"/>
          <w:sz w:val="18"/>
          <w:szCs w:val="18"/>
          <w:lang w:val="pt-BR"/>
        </w:rPr>
        <w:t xml:space="preserve">Principais fontes utilizadas: IEA, McKinsey, Bruegel, Brookings, Carnegie Endowment, Comissão Europeia, White House/BIS, Parlamento Europeu, CSIS, S&amp;P Global, Epoch AI, Centre for Future Generations (CFG), Euronews, CEPALC/CENIA (ILIA 2025), Banco Mundial, Futurum, Introl, World Nuclear News, Arizton, Pillsbury Law, ITIF, Foreign Policy, Hudson Institute. </w:t>
      </w:r>
      <w:r>
        <w:rPr>
          <w:color w:val="555555"/>
          <w:sz w:val="18"/>
          <w:szCs w:val="18"/>
          <w:lang w:val="en-US"/>
        </w:rPr>
        <w:t>Dados complementares: Bloomberg, DCD, Morgan Lewis, Tom's Hardware, Mordor Intelligence, Serrari Group, Data Center Knowledge.</w:t>
      </w:r>
    </w:p>
    <w:sectPr w:rsidR="002F5A21" w:rsidRPr="00750489">
      <w:headerReference w:type="default" r:id="rId8"/>
      <w:footerReference w:type="default" r:id="rId9"/>
      <w:pgSz w:w="11906" w:h="16838"/>
      <w:pgMar w:top="1440" w:right="1440" w:bottom="1440" w:left="1440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17AE0B4" w14:textId="77777777" w:rsidR="00D51E93" w:rsidRDefault="00D51E93">
      <w:r>
        <w:separator/>
      </w:r>
    </w:p>
  </w:endnote>
  <w:endnote w:type="continuationSeparator" w:id="0">
    <w:p w14:paraId="6DBA09A7" w14:textId="77777777" w:rsidR="00D51E93" w:rsidRDefault="00D51E9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AFE795" w14:textId="77777777" w:rsidR="001277BD" w:rsidRPr="002A7CA6" w:rsidRDefault="001277BD" w:rsidP="002A7CA6">
    <w:pPr>
      <w:pBdr>
        <w:top w:val="single" w:sz="2" w:space="4" w:color="CCCCCC"/>
      </w:pBdr>
      <w:jc w:val="center"/>
      <w:rPr>
        <w:lang w:val="en-US"/>
      </w:rPr>
    </w:pPr>
    <w:r w:rsidRPr="002A7CA6">
      <w:rPr>
        <w:color w:val="555555"/>
        <w:sz w:val="16"/>
        <w:szCs w:val="16"/>
        <w:lang w:val="en-US"/>
      </w:rPr>
      <w:t xml:space="preserve">AI for Americans First — Fabrice Pizzi — Page </w:t>
    </w:r>
    <w:r>
      <w:rPr>
        <w:color w:val="555555"/>
        <w:sz w:val="18"/>
        <w:szCs w:val="18"/>
      </w:rPr>
      <w:fldChar w:fldCharType="begin"/>
    </w:r>
    <w:r w:rsidRPr="002A7CA6">
      <w:rPr>
        <w:color w:val="555555"/>
        <w:sz w:val="18"/>
        <w:szCs w:val="18"/>
        <w:lang w:val="en-US"/>
      </w:rPr>
      <w:instrText xml:space="preserve"> PAGE </w:instrText>
    </w:r>
    <w:r>
      <w:rPr>
        <w:color w:val="555555"/>
        <w:sz w:val="18"/>
        <w:szCs w:val="18"/>
      </w:rPr>
      <w:fldChar w:fldCharType="separate"/>
    </w:r>
    <w:r w:rsidRPr="002A7CA6">
      <w:rPr>
        <w:color w:val="555555"/>
        <w:sz w:val="18"/>
        <w:szCs w:val="18"/>
        <w:lang w:val="en-US"/>
      </w:rPr>
      <w:t>14</w:t>
    </w:r>
    <w:r>
      <w:rPr>
        <w:color w:val="555555"/>
        <w:sz w:val="18"/>
        <w:szCs w:val="18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E1AE56" w14:textId="77777777" w:rsidR="002F5A21" w:rsidRDefault="00000000">
    <w:pPr>
      <w:jc w:val="center"/>
    </w:pPr>
    <w:r>
      <w:rPr>
        <w:color w:val="999999"/>
        <w:sz w:val="16"/>
        <w:szCs w:val="16"/>
      </w:rPr>
      <w:t>AI for Americans First — Português (BR)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4E1CD3C" w14:textId="77777777" w:rsidR="00D51E93" w:rsidRDefault="00D51E93">
      <w:r>
        <w:separator/>
      </w:r>
    </w:p>
  </w:footnote>
  <w:footnote w:type="continuationSeparator" w:id="0">
    <w:p w14:paraId="35A6CF43" w14:textId="77777777" w:rsidR="00D51E93" w:rsidRDefault="00D51E9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E743C" w14:textId="77777777" w:rsidR="002F5A21" w:rsidRDefault="00000000">
    <w:pPr>
      <w:jc w:val="right"/>
    </w:pPr>
    <w:r>
      <w:rPr>
        <w:i/>
        <w:iCs/>
        <w:color w:val="999999"/>
        <w:sz w:val="16"/>
        <w:szCs w:val="16"/>
      </w:rPr>
      <w:t>ESTUDO DE PESQUISA — FEVEREIRO 2026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61811D9"/>
    <w:multiLevelType w:val="hybridMultilevel"/>
    <w:tmpl w:val="E21AAB98"/>
    <w:lvl w:ilvl="0" w:tplc="833E6500">
      <w:start w:val="1"/>
      <w:numFmt w:val="bullet"/>
      <w:lvlText w:val="●"/>
      <w:lvlJc w:val="left"/>
      <w:pPr>
        <w:ind w:left="720" w:hanging="360"/>
      </w:pPr>
    </w:lvl>
    <w:lvl w:ilvl="1" w:tplc="15E44918">
      <w:start w:val="1"/>
      <w:numFmt w:val="bullet"/>
      <w:lvlText w:val="○"/>
      <w:lvlJc w:val="left"/>
      <w:pPr>
        <w:ind w:left="1440" w:hanging="360"/>
      </w:pPr>
    </w:lvl>
    <w:lvl w:ilvl="2" w:tplc="8F58D08C">
      <w:start w:val="1"/>
      <w:numFmt w:val="bullet"/>
      <w:lvlText w:val="■"/>
      <w:lvlJc w:val="left"/>
      <w:pPr>
        <w:ind w:left="2160" w:hanging="360"/>
      </w:pPr>
    </w:lvl>
    <w:lvl w:ilvl="3" w:tplc="12CEB224">
      <w:start w:val="1"/>
      <w:numFmt w:val="bullet"/>
      <w:lvlText w:val="●"/>
      <w:lvlJc w:val="left"/>
      <w:pPr>
        <w:ind w:left="2880" w:hanging="360"/>
      </w:pPr>
    </w:lvl>
    <w:lvl w:ilvl="4" w:tplc="8A848DE0">
      <w:start w:val="1"/>
      <w:numFmt w:val="bullet"/>
      <w:lvlText w:val="○"/>
      <w:lvlJc w:val="left"/>
      <w:pPr>
        <w:ind w:left="3600" w:hanging="360"/>
      </w:pPr>
    </w:lvl>
    <w:lvl w:ilvl="5" w:tplc="48204180">
      <w:start w:val="1"/>
      <w:numFmt w:val="bullet"/>
      <w:lvlText w:val="■"/>
      <w:lvlJc w:val="left"/>
      <w:pPr>
        <w:ind w:left="4320" w:hanging="360"/>
      </w:pPr>
    </w:lvl>
    <w:lvl w:ilvl="6" w:tplc="39387854">
      <w:start w:val="1"/>
      <w:numFmt w:val="bullet"/>
      <w:lvlText w:val="●"/>
      <w:lvlJc w:val="left"/>
      <w:pPr>
        <w:ind w:left="5040" w:hanging="360"/>
      </w:pPr>
    </w:lvl>
    <w:lvl w:ilvl="7" w:tplc="A47A6C02">
      <w:start w:val="1"/>
      <w:numFmt w:val="bullet"/>
      <w:lvlText w:val="●"/>
      <w:lvlJc w:val="left"/>
      <w:pPr>
        <w:ind w:left="5760" w:hanging="360"/>
      </w:pPr>
    </w:lvl>
    <w:lvl w:ilvl="8" w:tplc="E9ECAE36">
      <w:start w:val="1"/>
      <w:numFmt w:val="bullet"/>
      <w:lvlText w:val="●"/>
      <w:lvlJc w:val="left"/>
      <w:pPr>
        <w:ind w:left="6480" w:hanging="360"/>
      </w:pPr>
    </w:lvl>
  </w:abstractNum>
  <w:num w:numId="1" w16cid:durableId="1109083087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2F5A21"/>
    <w:rsid w:val="00080432"/>
    <w:rsid w:val="001277BD"/>
    <w:rsid w:val="002F5A21"/>
    <w:rsid w:val="00726F47"/>
    <w:rsid w:val="00750489"/>
    <w:rsid w:val="00C24711"/>
    <w:rsid w:val="00D51E9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5AA9834"/>
  <w15:docId w15:val="{5DB012AF-8701-4213-8DCE-FD4EE8D99A9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50489"/>
  </w:style>
  <w:style w:type="paragraph" w:styleId="Titre1">
    <w:name w:val="heading 1"/>
    <w:uiPriority w:val="9"/>
    <w:qFormat/>
    <w:pPr>
      <w:spacing w:before="300" w:after="150"/>
      <w:outlineLvl w:val="0"/>
    </w:pPr>
    <w:rPr>
      <w:b/>
      <w:bCs/>
      <w:color w:val="1B3A5C"/>
      <w:sz w:val="28"/>
      <w:szCs w:val="28"/>
    </w:rPr>
  </w:style>
  <w:style w:type="paragraph" w:styleId="Titre2">
    <w:name w:val="heading 2"/>
    <w:uiPriority w:val="9"/>
    <w:unhideWhenUsed/>
    <w:qFormat/>
    <w:pPr>
      <w:spacing w:before="200" w:after="120"/>
      <w:outlineLvl w:val="1"/>
    </w:pPr>
    <w:rPr>
      <w:b/>
      <w:bCs/>
      <w:color w:val="1B3A5C"/>
      <w:sz w:val="24"/>
      <w:szCs w:val="24"/>
    </w:rPr>
  </w:style>
  <w:style w:type="paragraph" w:styleId="Titre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?>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footer" Target="foot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theme" Target="theme/theme1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6</Pages>
  <Words>2041</Words>
  <Characters>11230</Characters>
  <Application>Microsoft Office Word</Application>
  <DocSecurity>0</DocSecurity>
  <Lines>93</Lines>
  <Paragraphs>26</Paragraphs>
  <ScaleCrop>false</ScaleCrop>
  <Company/>
  <LinksUpToDate>false</LinksUpToDate>
  <CharactersWithSpaces>13245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fabrice pizzi</cp:lastModifiedBy>
  <cp:revision>3</cp:revision>
  <dcterms:created xsi:type="dcterms:W3CDTF">2026-02-24T20:37:00Z</dcterms:created>
  <dcterms:modified xsi:type="dcterms:W3CDTF">2026-02-26T10:05:00Z</dcterms:modified>
</cp:coreProperties>
</file>