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7E5456" w14:textId="77777777" w:rsidR="00600556" w:rsidRDefault="00A60B33">
      <w:pPr>
        <w:spacing w:after="80"/>
        <w:jc w:val="center"/>
      </w:pPr>
      <w:r>
        <w:rPr>
          <w:b/>
          <w:bCs/>
          <w:color w:val="1A1A1A"/>
          <w:sz w:val="32"/>
          <w:szCs w:val="32"/>
        </w:rPr>
        <w:t>Economia de Densidade Cognitiva</w:t>
      </w:r>
    </w:p>
    <w:p w14:paraId="44766ECA" w14:textId="77777777" w:rsidR="00600556" w:rsidRDefault="00A60B33">
      <w:pPr>
        <w:spacing w:after="80"/>
        <w:jc w:val="center"/>
      </w:pPr>
      <w:r>
        <w:rPr>
          <w:b/>
          <w:bCs/>
          <w:color w:val="1A1A1A"/>
          <w:sz w:val="32"/>
          <w:szCs w:val="32"/>
        </w:rPr>
        <w:t>e Estruturação de Mercado</w:t>
      </w:r>
    </w:p>
    <w:p w14:paraId="0E85057E" w14:textId="77777777" w:rsidR="00600556" w:rsidRDefault="00A60B33">
      <w:pPr>
        <w:spacing w:after="200"/>
        <w:jc w:val="center"/>
      </w:pPr>
      <w:r>
        <w:rPr>
          <w:i/>
          <w:iCs/>
          <w:color w:val="333333"/>
          <w:sz w:val="24"/>
          <w:szCs w:val="24"/>
        </w:rPr>
        <w:t>Leitura de Inteligência Econômica da Doutrina Huang sobre o Consumo de Tokens de IA</w:t>
      </w:r>
    </w:p>
    <w:p w14:paraId="2030588A" w14:textId="77777777" w:rsidR="00600556" w:rsidRDefault="00A60B33">
      <w:pPr>
        <w:spacing w:after="40"/>
        <w:jc w:val="center"/>
      </w:pPr>
      <w:r>
        <w:rPr>
          <w:b/>
          <w:bCs/>
          <w:sz w:val="24"/>
          <w:szCs w:val="24"/>
        </w:rPr>
        <w:t>Fabrice Pizzi</w:t>
      </w:r>
    </w:p>
    <w:p w14:paraId="79C16E96" w14:textId="77777777" w:rsidR="00600556" w:rsidRDefault="00A60B33">
      <w:pPr>
        <w:spacing w:after="40"/>
        <w:jc w:val="center"/>
      </w:pPr>
      <w:r>
        <w:rPr>
          <w:color w:val="333333"/>
          <w:sz w:val="20"/>
          <w:szCs w:val="20"/>
        </w:rPr>
        <w:t>Universidade Paris Sorbonne — Inteligência Econômica e Cibersegurança</w:t>
      </w:r>
    </w:p>
    <w:p w14:paraId="0CBC6323" w14:textId="77777777" w:rsidR="00600556" w:rsidRDefault="00A60B33">
      <w:pPr>
        <w:spacing w:after="40"/>
        <w:jc w:val="center"/>
      </w:pPr>
      <w:r>
        <w:rPr>
          <w:color w:val="333333"/>
          <w:sz w:val="20"/>
          <w:szCs w:val="20"/>
        </w:rPr>
        <w:t>CISSP | Criador da LIA-Scan | Pesquisador em Segurança de Agentes IA Autônomos</w:t>
      </w:r>
    </w:p>
    <w:p w14:paraId="3233E5E5" w14:textId="77777777" w:rsidR="00600556" w:rsidRDefault="00A60B33">
      <w:pPr>
        <w:spacing w:after="300"/>
        <w:jc w:val="center"/>
      </w:pPr>
      <w:r>
        <w:rPr>
          <w:i/>
          <w:iCs/>
          <w:color w:val="666666"/>
          <w:sz w:val="20"/>
          <w:szCs w:val="20"/>
        </w:rPr>
        <w:t>Março de 2026</w:t>
      </w:r>
    </w:p>
    <w:p w14:paraId="0C07542B" w14:textId="77777777" w:rsidR="00600556" w:rsidRDefault="00600556">
      <w:pPr>
        <w:pBdr>
          <w:bottom w:val="single" w:sz="4" w:space="1" w:color="999999"/>
        </w:pBdr>
        <w:spacing w:after="200"/>
      </w:pPr>
    </w:p>
    <w:p w14:paraId="10349E29" w14:textId="77777777" w:rsidR="00600556" w:rsidRDefault="00A60B33">
      <w:pPr>
        <w:spacing w:before="100" w:after="80"/>
      </w:pPr>
      <w:r>
        <w:rPr>
          <w:b/>
          <w:bCs/>
        </w:rPr>
        <w:t>Resumo</w:t>
      </w:r>
    </w:p>
    <w:p w14:paraId="4DA448A3" w14:textId="77777777" w:rsidR="00600556" w:rsidRDefault="00A60B33">
      <w:pPr>
        <w:spacing w:after="160" w:line="280" w:lineRule="auto"/>
        <w:ind w:left="567" w:right="567"/>
        <w:jc w:val="both"/>
      </w:pPr>
      <w:r>
        <w:rPr>
          <w:i/>
          <w:iCs/>
          <w:color w:val="333333"/>
          <w:sz w:val="20"/>
          <w:szCs w:val="20"/>
        </w:rPr>
        <w:t>Em 20 de março de 2026, Jensen Huang, CEO da NVIDIA, declarou que um engenheiro remunerado em US$ 500.000 deveria consumir no mínimo US$ 250.000 em tokens de IA por ano. Esta nota de pesquisa propõe uma leitura de inteligência econômica dessa declaração, situando-a no contexto da posição dominante da NVIDIA no mercado de aceleradores de IA (aproximadamente 80% de participação) e da arquitetura protecionista americana documentada no índice CACI (Competitive Advantage of Compute Index). A análise cruza dados empíricos sobre o retorno dos projetos GenAI em empresas (MIT NANDA, PwC, Forrester, Gartner, IBM) com o quadro geoestratégico do CACI para demonstrar que a prescrição de consumo massivo de tokens constitui uma estruturação de mercado, não um conselho gerencial, e que o conceito de economia de densidade cognitiva deve ser compreendido como um novo regime de poder integrando quatro dimensões: energia, semicondutores, compute e regulação.</w:t>
      </w:r>
    </w:p>
    <w:p w14:paraId="32836278" w14:textId="77777777" w:rsidR="00600556" w:rsidRDefault="00A60B33">
      <w:pPr>
        <w:spacing w:after="200" w:line="280" w:lineRule="auto"/>
        <w:ind w:left="567" w:right="567"/>
      </w:pPr>
      <w:r>
        <w:rPr>
          <w:b/>
          <w:bCs/>
          <w:sz w:val="20"/>
          <w:szCs w:val="20"/>
        </w:rPr>
        <w:t xml:space="preserve">Palavras-chave: </w:t>
      </w:r>
      <w:r>
        <w:rPr>
          <w:sz w:val="20"/>
          <w:szCs w:val="20"/>
        </w:rPr>
        <w:t>inteligência econômica, densidade cognitiva, CACI, NVIDIA, tokens IA, soberania digital, protecionismo tecnológico, ROI GenAI, compute, geoestratégia</w:t>
      </w:r>
    </w:p>
    <w:p w14:paraId="7565537B" w14:textId="77777777" w:rsidR="00600556" w:rsidRDefault="00600556">
      <w:pPr>
        <w:pBdr>
          <w:bottom w:val="single" w:sz="4" w:space="1" w:color="999999"/>
        </w:pBdr>
        <w:spacing w:after="200"/>
      </w:pPr>
    </w:p>
    <w:p w14:paraId="4B40973C" w14:textId="77777777" w:rsidR="00600556" w:rsidRDefault="00A60B33">
      <w:pPr>
        <w:pStyle w:val="Titre1"/>
      </w:pPr>
      <w:r>
        <w:t>1. Contexto: uma declaração com enorme repercussão midiática</w:t>
      </w:r>
    </w:p>
    <w:p w14:paraId="07F6B4E3" w14:textId="77777777" w:rsidR="00600556" w:rsidRDefault="00A60B33">
      <w:pPr>
        <w:spacing w:after="160"/>
        <w:jc w:val="both"/>
      </w:pPr>
      <w:r>
        <w:t>Em 20 de março de 2026, durante o GTC (GPU Technology Conference) em San José, Jensen Huang participou do podcast All-In onde formulou o que rapidamente se tornou a citação mais reproduzida da semana no ecossistema tecnológico mundial:</w:t>
      </w:r>
    </w:p>
    <w:p w14:paraId="1E862502" w14:textId="77777777" w:rsidR="00600556" w:rsidRDefault="00A60B33">
      <w:pPr>
        <w:spacing w:before="120" w:after="120" w:line="280" w:lineRule="auto"/>
        <w:ind w:left="850" w:right="850"/>
        <w:jc w:val="both"/>
      </w:pPr>
      <w:r>
        <w:rPr>
          <w:i/>
          <w:iCs/>
          <w:sz w:val="21"/>
          <w:szCs w:val="21"/>
        </w:rPr>
        <w:t>"If that $500,000 engineer did not consume at least $250,000 worth of tokens, I am going to be deeply alarmed." [1]</w:t>
      </w:r>
    </w:p>
    <w:p w14:paraId="1B468E94" w14:textId="77777777" w:rsidR="00600556" w:rsidRDefault="00A60B33">
      <w:pPr>
        <w:spacing w:after="160"/>
        <w:jc w:val="both"/>
      </w:pPr>
      <w:r>
        <w:t>Huang acrescentou que se esse mesmo engenheiro tivesse gasto apenas US$ 5.000 em tokens, ele ficaria extremamente descontente. Questionado sobre o fato de a NVIDIA estar tentando gastar US$ 2 bilhões em tokens para sua equipe de engenheiros, confirmou: "We're trying to." [1] Durante sua keynote no GTC, também mencionou a ideia de oferecer orçamentos de tokens equivalentes a aproximadamente metade do salário base como componente de atração no recrutamento de engenheiros. [2]</w:t>
      </w:r>
    </w:p>
    <w:p w14:paraId="7CD876DD" w14:textId="77777777" w:rsidR="00600556" w:rsidRDefault="00A60B33">
      <w:pPr>
        <w:spacing w:after="160"/>
        <w:jc w:val="both"/>
      </w:pPr>
      <w:r>
        <w:t>A recepção midiática e profissional dessa declaração concentrou-se quase exclusivamente em sua dimensão gerencial: a imposição de produtividade individual através do consumo intensivo de IA. Esta nota propõe uma leitura diferente.</w:t>
      </w:r>
    </w:p>
    <w:p w14:paraId="1754F7D8" w14:textId="77777777" w:rsidR="00600556" w:rsidRDefault="00A60B33">
      <w:pPr>
        <w:pStyle w:val="Titre1"/>
      </w:pPr>
      <w:r>
        <w:lastRenderedPageBreak/>
        <w:t>2. Quadro analítico: quem fala, de que posição, com que interesse?</w:t>
      </w:r>
    </w:p>
    <w:p w14:paraId="31B4E12D" w14:textId="77777777" w:rsidR="00600556" w:rsidRDefault="00A60B33">
      <w:pPr>
        <w:spacing w:after="160"/>
        <w:jc w:val="both"/>
      </w:pPr>
      <w:r>
        <w:t>O primeiro reflexo em inteligência econômica, diante de uma declaração pública de um dirigente empresarial, consiste em identificar a posição estrutural do emissor. Jensen Huang é o CEO da NVIDIA, principal fornecedora mundial de aceleradores de IA, com aproximadamente 80% de participação no mercado de chips de treinamento e inferência de IA. [3] A NVIDIA também é a principal beneficiária do crescimento no consumo de tokens: cada dólar de token consumido no mundo gera, direta ou indiretamente, demanda por compute executado em hardware NVIDIA.</w:t>
      </w:r>
    </w:p>
    <w:p w14:paraId="032F4EAC" w14:textId="77777777" w:rsidR="00600556" w:rsidRDefault="00A60B33">
      <w:pPr>
        <w:spacing w:after="160"/>
        <w:jc w:val="both"/>
      </w:pPr>
      <w:r>
        <w:t>Nesse contexto, a declaração "consumam pelo menos metade do salário em tokens" não constitui um conselho gerencial neutro. Constitui um ato de estruturação da demanda no próprio mercado do emissor. O fato de essa leitura estar virtualmente ausente do debate público sobre IA sugere um déficit de maturidade em inteligência econômica aplicada ao setor tecnológico.</w:t>
      </w:r>
    </w:p>
    <w:p w14:paraId="48E9CF5C" w14:textId="77777777" w:rsidR="00600556" w:rsidRDefault="00A60B33">
      <w:pPr>
        <w:pStyle w:val="Titre1"/>
      </w:pPr>
      <w:r>
        <w:t>3. Confrontação empírica: a distância entre prescrição e resultados observados</w:t>
      </w:r>
    </w:p>
    <w:p w14:paraId="4CC4E313" w14:textId="77777777" w:rsidR="00600556" w:rsidRDefault="00A60B33">
      <w:pPr>
        <w:spacing w:after="160"/>
        <w:jc w:val="both"/>
      </w:pPr>
      <w:r>
        <w:t>A prescrição de Huang é coerente num contexto muito específico: perfis de elite operando em ecossistemas maduros (NVIDIA, hyperscalers, vanguarda do Silicon Valley), onde agentes de IA funcionam continuamente e cada dólar de compute se replica em valor mensurável. Projetada sobre o conjunto do tecido econômico, porém, ela colide com os dados empíricos disponíveis.</w:t>
      </w:r>
    </w:p>
    <w:p w14:paraId="38483AE7" w14:textId="77777777" w:rsidR="00600556" w:rsidRDefault="00A60B33">
      <w:pPr>
        <w:spacing w:before="200" w:after="80"/>
      </w:pPr>
      <w:r>
        <w:rPr>
          <w:b/>
          <w:bCs/>
          <w:i/>
          <w:iCs/>
          <w:sz w:val="20"/>
          <w:szCs w:val="20"/>
        </w:rPr>
        <w:t xml:space="preserve">Tabela 1. </w:t>
      </w:r>
      <w:r>
        <w:rPr>
          <w:i/>
          <w:iCs/>
          <w:sz w:val="20"/>
          <w:szCs w:val="20"/>
        </w:rPr>
        <w:t>Dados empíricos sobre o ROI de projetos GenAI em empresas (2025-2026)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000"/>
        <w:gridCol w:w="5826"/>
      </w:tblGrid>
      <w:tr w:rsidR="00600556" w14:paraId="70AA7C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9D9D9"/>
            <w:tcMar>
              <w:top w:w="60" w:type="dxa"/>
              <w:left w:w="80" w:type="dxa"/>
              <w:bottom w:w="60" w:type="dxa"/>
              <w:right w:w="80" w:type="dxa"/>
            </w:tcMar>
          </w:tcPr>
          <w:p w14:paraId="46087214" w14:textId="77777777" w:rsidR="00600556" w:rsidRDefault="00A60B33">
            <w:r>
              <w:rPr>
                <w:b/>
                <w:bCs/>
                <w:sz w:val="18"/>
                <w:szCs w:val="18"/>
              </w:rPr>
              <w:t>Fonte</w:t>
            </w:r>
          </w:p>
        </w:tc>
        <w:tc>
          <w:tcPr>
            <w:tcW w:w="1000" w:type="dxa"/>
            <w:tcBorders>
              <w:top w:val="single" w:sz="1" w:space="0" w:color="CCCCCC"/>
              <w:left w:val="single" w:sz="1" w:space="0" w:color="CCCCCC"/>
              <w:bottom w:val="single" w:sz="1" w:space="0" w:color="CCCCCC"/>
              <w:right w:val="single" w:sz="1" w:space="0" w:color="CCCCCC"/>
            </w:tcBorders>
            <w:shd w:val="clear" w:color="auto" w:fill="D9D9D9"/>
            <w:tcMar>
              <w:top w:w="60" w:type="dxa"/>
              <w:left w:w="80" w:type="dxa"/>
              <w:bottom w:w="60" w:type="dxa"/>
              <w:right w:w="80" w:type="dxa"/>
            </w:tcMar>
          </w:tcPr>
          <w:p w14:paraId="4D0D5204" w14:textId="77777777" w:rsidR="00600556" w:rsidRDefault="00A60B33">
            <w:r>
              <w:rPr>
                <w:b/>
                <w:bCs/>
                <w:sz w:val="18"/>
                <w:szCs w:val="18"/>
              </w:rPr>
              <w:t>Ano</w:t>
            </w:r>
          </w:p>
        </w:tc>
        <w:tc>
          <w:tcPr>
            <w:tcW w:w="5826" w:type="dxa"/>
            <w:tcBorders>
              <w:top w:val="single" w:sz="1" w:space="0" w:color="CCCCCC"/>
              <w:left w:val="single" w:sz="1" w:space="0" w:color="CCCCCC"/>
              <w:bottom w:val="single" w:sz="1" w:space="0" w:color="CCCCCC"/>
              <w:right w:val="single" w:sz="1" w:space="0" w:color="CCCCCC"/>
            </w:tcBorders>
            <w:shd w:val="clear" w:color="auto" w:fill="D9D9D9"/>
            <w:tcMar>
              <w:top w:w="60" w:type="dxa"/>
              <w:left w:w="80" w:type="dxa"/>
              <w:bottom w:w="60" w:type="dxa"/>
              <w:right w:w="80" w:type="dxa"/>
            </w:tcMar>
          </w:tcPr>
          <w:p w14:paraId="13103ABF" w14:textId="77777777" w:rsidR="00600556" w:rsidRDefault="00A60B33">
            <w:r>
              <w:rPr>
                <w:b/>
                <w:bCs/>
                <w:sz w:val="18"/>
                <w:szCs w:val="18"/>
              </w:rPr>
              <w:t>Constatação principal</w:t>
            </w:r>
          </w:p>
        </w:tc>
      </w:tr>
      <w:tr w:rsidR="00600556" w14:paraId="00BD7F4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76FFB7A" w14:textId="77777777" w:rsidR="00600556" w:rsidRDefault="00A60B33">
            <w:pPr>
              <w:spacing w:after="20"/>
            </w:pPr>
            <w:r>
              <w:rPr>
                <w:sz w:val="18"/>
                <w:szCs w:val="18"/>
              </w:rPr>
              <w:t>MIT NANDA</w:t>
            </w:r>
          </w:p>
          <w:p w14:paraId="7E0F5F3E" w14:textId="77777777" w:rsidR="00600556" w:rsidRDefault="00A60B33">
            <w:pPr>
              <w:spacing w:after="20"/>
            </w:pPr>
            <w:r>
              <w:rPr>
                <w:sz w:val="18"/>
                <w:szCs w:val="18"/>
              </w:rPr>
              <w:t>"The GenAI Divide"</w:t>
            </w:r>
          </w:p>
        </w:tc>
        <w:tc>
          <w:tcPr>
            <w:tcW w:w="1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EC5CB41" w14:textId="77777777" w:rsidR="00600556" w:rsidRDefault="00A60B33">
            <w:pPr>
              <w:spacing w:after="20"/>
            </w:pPr>
            <w:r>
              <w:rPr>
                <w:sz w:val="18"/>
                <w:szCs w:val="18"/>
              </w:rPr>
              <w:t>2025</w:t>
            </w:r>
          </w:p>
        </w:tc>
        <w:tc>
          <w:tcPr>
            <w:tcW w:w="5826"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5134EA8" w14:textId="77777777" w:rsidR="00600556" w:rsidRDefault="00A60B33">
            <w:pPr>
              <w:spacing w:after="20"/>
            </w:pPr>
            <w:r>
              <w:rPr>
                <w:sz w:val="18"/>
                <w:szCs w:val="18"/>
              </w:rPr>
              <w:t>95% dos projetos GenAI em empresas não produziram impacto mensurável no P&amp;L. [8]</w:t>
            </w:r>
          </w:p>
        </w:tc>
      </w:tr>
      <w:tr w:rsidR="00600556" w14:paraId="53D25E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0C80D7A" w14:textId="77777777" w:rsidR="00600556" w:rsidRDefault="00A60B33">
            <w:pPr>
              <w:spacing w:after="20"/>
            </w:pPr>
            <w:r>
              <w:rPr>
                <w:sz w:val="18"/>
                <w:szCs w:val="18"/>
              </w:rPr>
              <w:t>PwC CEO Survey</w:t>
            </w:r>
          </w:p>
          <w:p w14:paraId="15B9B686" w14:textId="77777777" w:rsidR="00600556" w:rsidRDefault="00A60B33">
            <w:pPr>
              <w:spacing w:after="20"/>
            </w:pPr>
            <w:r>
              <w:rPr>
                <w:sz w:val="18"/>
                <w:szCs w:val="18"/>
              </w:rPr>
              <w:t>(Davos)</w:t>
            </w:r>
          </w:p>
        </w:tc>
        <w:tc>
          <w:tcPr>
            <w:tcW w:w="1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09BF04F" w14:textId="77777777" w:rsidR="00600556" w:rsidRDefault="00A60B33">
            <w:pPr>
              <w:spacing w:after="20"/>
            </w:pPr>
            <w:r>
              <w:rPr>
                <w:sz w:val="18"/>
                <w:szCs w:val="18"/>
              </w:rPr>
              <w:t>2026</w:t>
            </w:r>
          </w:p>
        </w:tc>
        <w:tc>
          <w:tcPr>
            <w:tcW w:w="5826"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95EC5AD" w14:textId="77777777" w:rsidR="00600556" w:rsidRDefault="00A60B33">
            <w:pPr>
              <w:spacing w:after="20"/>
            </w:pPr>
            <w:r>
              <w:rPr>
                <w:sz w:val="18"/>
                <w:szCs w:val="18"/>
              </w:rPr>
              <w:t>56% dos CEOs declaram que a IA não produziu benefícios significativos. Apenas 12% reportam ganhos em custos e receitas simultaneamente. [9]</w:t>
            </w:r>
          </w:p>
        </w:tc>
      </w:tr>
      <w:tr w:rsidR="00600556" w14:paraId="7A0852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8737163" w14:textId="77777777" w:rsidR="00600556" w:rsidRDefault="00A60B33">
            <w:pPr>
              <w:spacing w:after="20"/>
            </w:pPr>
            <w:r>
              <w:rPr>
                <w:sz w:val="18"/>
                <w:szCs w:val="18"/>
              </w:rPr>
              <w:t>Forrester</w:t>
            </w:r>
          </w:p>
        </w:tc>
        <w:tc>
          <w:tcPr>
            <w:tcW w:w="1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FD1ADAC" w14:textId="77777777" w:rsidR="00600556" w:rsidRDefault="00A60B33">
            <w:pPr>
              <w:spacing w:after="20"/>
            </w:pPr>
            <w:r>
              <w:rPr>
                <w:sz w:val="18"/>
                <w:szCs w:val="18"/>
              </w:rPr>
              <w:t>2025</w:t>
            </w:r>
          </w:p>
        </w:tc>
        <w:tc>
          <w:tcPr>
            <w:tcW w:w="5826"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A0056A1" w14:textId="77777777" w:rsidR="00600556" w:rsidRDefault="00A60B33">
            <w:pPr>
              <w:spacing w:after="20"/>
            </w:pPr>
            <w:r>
              <w:rPr>
                <w:sz w:val="18"/>
                <w:szCs w:val="18"/>
              </w:rPr>
              <w:t>Apenas 15% dos decisores de IA reportam impacto positivo na rentabilidade. 25% das despesas de IA previstas para 2026 adiadas para 2027. [10]</w:t>
            </w:r>
          </w:p>
        </w:tc>
      </w:tr>
      <w:tr w:rsidR="00600556" w14:paraId="32EEF3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C5992BE" w14:textId="77777777" w:rsidR="00600556" w:rsidRDefault="00A60B33">
            <w:pPr>
              <w:spacing w:after="20"/>
            </w:pPr>
            <w:r>
              <w:rPr>
                <w:sz w:val="18"/>
                <w:szCs w:val="18"/>
              </w:rPr>
              <w:t>Gartner</w:t>
            </w:r>
          </w:p>
        </w:tc>
        <w:tc>
          <w:tcPr>
            <w:tcW w:w="1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35F444A" w14:textId="77777777" w:rsidR="00600556" w:rsidRDefault="00A60B33">
            <w:pPr>
              <w:spacing w:after="20"/>
            </w:pPr>
            <w:r>
              <w:rPr>
                <w:sz w:val="18"/>
                <w:szCs w:val="18"/>
              </w:rPr>
              <w:t>2025</w:t>
            </w:r>
          </w:p>
        </w:tc>
        <w:tc>
          <w:tcPr>
            <w:tcW w:w="5826"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8CB865F" w14:textId="77777777" w:rsidR="00600556" w:rsidRDefault="00A60B33">
            <w:pPr>
              <w:spacing w:after="20"/>
            </w:pPr>
            <w:r>
              <w:rPr>
                <w:sz w:val="18"/>
                <w:szCs w:val="18"/>
              </w:rPr>
              <w:t>60% dos projetos de IA serão abandonados até o final de 2026 quando os dados não forem "AI-ready". [11]</w:t>
            </w:r>
          </w:p>
        </w:tc>
      </w:tr>
      <w:tr w:rsidR="00600556" w14:paraId="271DC7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3F6F17D" w14:textId="77777777" w:rsidR="00600556" w:rsidRDefault="00A60B33">
            <w:pPr>
              <w:spacing w:after="20"/>
            </w:pPr>
            <w:r>
              <w:rPr>
                <w:sz w:val="18"/>
                <w:szCs w:val="18"/>
              </w:rPr>
              <w:t>IBM IBV</w:t>
            </w:r>
          </w:p>
        </w:tc>
        <w:tc>
          <w:tcPr>
            <w:tcW w:w="1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39AF8F8" w14:textId="77777777" w:rsidR="00600556" w:rsidRDefault="00A60B33">
            <w:pPr>
              <w:spacing w:after="20"/>
            </w:pPr>
            <w:r>
              <w:rPr>
                <w:sz w:val="18"/>
                <w:szCs w:val="18"/>
              </w:rPr>
              <w:t>2025</w:t>
            </w:r>
          </w:p>
        </w:tc>
        <w:tc>
          <w:tcPr>
            <w:tcW w:w="5826"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B4DEA2E" w14:textId="77777777" w:rsidR="00600556" w:rsidRDefault="00A60B33">
            <w:pPr>
              <w:spacing w:after="20"/>
            </w:pPr>
            <w:r>
              <w:rPr>
                <w:sz w:val="18"/>
                <w:szCs w:val="18"/>
              </w:rPr>
              <w:t>Apenas 25% das iniciativas de IA entregaram o ROI esperado. 16% implantadas em escala empresarial. [12]</w:t>
            </w:r>
          </w:p>
        </w:tc>
      </w:tr>
    </w:tbl>
    <w:p w14:paraId="3C764747" w14:textId="77777777" w:rsidR="00600556" w:rsidRDefault="00600556">
      <w:pPr>
        <w:spacing w:after="160"/>
      </w:pPr>
    </w:p>
    <w:p w14:paraId="20993860" w14:textId="77777777" w:rsidR="00600556" w:rsidRDefault="00A60B33">
      <w:pPr>
        <w:spacing w:after="160"/>
        <w:jc w:val="both"/>
      </w:pPr>
      <w:r>
        <w:t>A distância entre a prescrição ("gastem US$ 250.000 em tokens por engenheiro") e a realidade empírica (95% de ausência de retorno mensurável) levanta uma questão estrutural. Se a maioria das organizações não consegue converter seu gasto em IA em valor, o principal beneficiário do aumento desse gasto não é a empresa consumidora, mas o fornecedor de infraestrutura de compute.</w:t>
      </w:r>
    </w:p>
    <w:p w14:paraId="31147C97" w14:textId="77777777" w:rsidR="00600556" w:rsidRDefault="00A60B33">
      <w:pPr>
        <w:pStyle w:val="Titre1"/>
      </w:pPr>
      <w:r>
        <w:t>4. O volume de tokens como indicador de dependência, não de desempenho</w:t>
      </w:r>
    </w:p>
    <w:p w14:paraId="79FC6BCB" w14:textId="77777777" w:rsidR="00600556" w:rsidRDefault="00A60B33">
      <w:pPr>
        <w:spacing w:after="160"/>
        <w:jc w:val="both"/>
      </w:pPr>
      <w:r>
        <w:t xml:space="preserve">Medir o consumo de tokens como indicador de produtividade individual apresenta um problema metodológico fundamental: essa métrica captura atividade, não valor criado. É comparável a avaliar um </w:t>
        <w:lastRenderedPageBreak/>
        <w:t>desenvolvedor pelas horas passadas num ambiente de desenvolvimento em vez das funcionalidades entregues e validadas.</w:t>
      </w:r>
    </w:p>
    <w:p w14:paraId="63C03AC3" w14:textId="77777777" w:rsidR="00600556" w:rsidRDefault="00A60B33">
      <w:pPr>
        <w:spacing w:after="160"/>
        <w:jc w:val="both"/>
      </w:pPr>
      <w:r>
        <w:t>Mais problemático ainda, essa métrica cria um incentivo perverso: a maximização do volume de tokens consumidos independentemente do valor produzido. Num contexto de auditoria ou cibersegurança, esse tipo de métrica seria imediatamente descartado em favor de indicadores de resultado: cycle time, findings exploráveis, incidentes evitados, funcionalidades entregues, custos de remediação reduzidos.</w:t>
      </w:r>
    </w:p>
    <w:p w14:paraId="609B39F5" w14:textId="77777777" w:rsidR="00600556" w:rsidRDefault="00A60B33">
      <w:pPr>
        <w:spacing w:after="160"/>
        <w:jc w:val="both"/>
      </w:pPr>
      <w:r>
        <w:t>A razão pertinente não é o volume de tokens consumido, mas o valor verificável produzido por unidade de compute consumido. Essa mudança de métrica, aplicada à escala geoestratégica, modifica profundamente a leitura do conceito de densidade cognitiva.</w:t>
      </w:r>
    </w:p>
    <w:p w14:paraId="3E0B5428" w14:textId="77777777" w:rsidR="00600556" w:rsidRDefault="00A60B33">
      <w:pPr>
        <w:pStyle w:val="Titre1"/>
      </w:pPr>
      <w:r>
        <w:t>5. Economia de densidade cognitiva: do sentido gerencial ao sentido geoestratégico</w:t>
      </w:r>
    </w:p>
    <w:p w14:paraId="53A84870" w14:textId="77777777" w:rsidR="00600556" w:rsidRDefault="00A60B33">
      <w:pPr>
        <w:spacing w:after="160"/>
        <w:jc w:val="both"/>
      </w:pPr>
      <w:r>
        <w:t>O conceito de economia de densidade cognitiva admite duas leituras. A primeira, gerencial, descreve a intensificação do trabalho cognitivo por indivíduo: cada profissional deverá produzir mais valor por unidade de tempo, apoiando-se na IA como alavanca. Essa leitura é correta, mas insuficiente.</w:t>
      </w:r>
    </w:p>
    <w:p w14:paraId="79EFDC95" w14:textId="77777777" w:rsidR="00600556" w:rsidRDefault="00A60B33">
      <w:pPr>
        <w:spacing w:after="160"/>
        <w:jc w:val="both"/>
      </w:pPr>
      <w:r>
        <w:t>A segunda leitura, geoestratégica, designa um novo regime de poder mundial. A riqueza e a competitividade de um país, de um bloco ou de uma organização não se medem mais unicamente por recursos naturais, PIB industrial ou capital humano bruto, mas pela capacidade de transformar compute em resultado confiável, verificável e soberano.</w:t>
      </w:r>
    </w:p>
    <w:p w14:paraId="01EE2F8D" w14:textId="77777777" w:rsidR="00600556" w:rsidRDefault="00A60B33">
      <w:pPr>
        <w:spacing w:after="160"/>
        <w:jc w:val="both"/>
      </w:pPr>
      <w:r>
        <w:t xml:space="preserve">É essa segunda leitura que o CACI (Competitive Advantage of Compute Index) formaliza, construído no âmbito da pesquisa </w:t>
      </w:r>
      <w:r>
        <w:rPr>
          <w:i/>
          <w:iCs/>
        </w:rPr>
        <w:t>AI for Americans First</w:t>
      </w:r>
      <w:r>
        <w:t xml:space="preserve"> (Pizzi, Universidade Paris Sorbonne, fevereiro de 2026). [4] O CACI integra quatro dimensões habitualmente tratadas separadamente na literatura: </w:t>
      </w:r>
      <w:r>
        <w:rPr>
          <w:b/>
          <w:bCs/>
        </w:rPr>
        <w:t>energia</w:t>
      </w:r>
      <w:r>
        <w:t xml:space="preserve">, </w:t>
      </w:r>
      <w:r>
        <w:rPr>
          <w:b/>
          <w:bCs/>
        </w:rPr>
        <w:t>semicondutores</w:t>
      </w:r>
      <w:r>
        <w:t xml:space="preserve">, </w:t>
      </w:r>
      <w:r>
        <w:rPr>
          <w:b/>
          <w:bCs/>
        </w:rPr>
        <w:t>compute</w:t>
      </w:r>
      <w:r>
        <w:t xml:space="preserve"> e </w:t>
      </w:r>
      <w:r>
        <w:rPr>
          <w:b/>
          <w:bCs/>
        </w:rPr>
        <w:t>regulação</w:t>
      </w:r>
      <w:r>
        <w:t>.</w:t>
      </w:r>
    </w:p>
    <w:p w14:paraId="29A2EB99" w14:textId="77777777" w:rsidR="00600556" w:rsidRDefault="00A60B33">
      <w:pPr>
        <w:pStyle w:val="Titre2"/>
      </w:pPr>
      <w:r>
        <w:t>5.1 Resultados do CACI</w:t>
      </w:r>
    </w:p>
    <w:p w14:paraId="6A3508F9" w14:textId="77777777" w:rsidR="00600556" w:rsidRDefault="00A60B33">
      <w:pPr>
        <w:spacing w:after="160"/>
        <w:jc w:val="both"/>
      </w:pPr>
      <w:r>
        <w:t>A razão CACI EUA/UE situa-se em 3.4:1 (modo Power), impulsionada por três fatores convergentes.</w:t>
      </w:r>
    </w:p>
    <w:p w14:paraId="0FA638BD" w14:textId="77777777" w:rsidR="00600556" w:rsidRDefault="00A60B33">
      <w:pPr>
        <w:spacing w:after="160"/>
        <w:jc w:val="both"/>
      </w:pPr>
      <w:r>
        <w:rPr>
          <w:b/>
          <w:bCs/>
        </w:rPr>
        <w:t xml:space="preserve">Lacuna de compute e energia. </w:t>
      </w:r>
      <w:r>
        <w:t>Os Estados Unidos dispõem de uma capacidade de 75 GW dedicada a data centers de IA, contra 35 GW para a União Europeia. Essa lacuna se traduz diretamente no custo dos FLOPs: US$ 0,5/TFlop nos EUA contra US$ 1,2 a US$ 1,8/TFlop na Europa, um diferencial de dois a três. Fontes: Epoch AI GPU Clusters Dataset (2025), IEA Electricity 2024 Report. [5]</w:t>
      </w:r>
    </w:p>
    <w:p w14:paraId="76DB5CEF" w14:textId="77777777" w:rsidR="00600556" w:rsidRDefault="00A60B33">
      <w:pPr>
        <w:spacing w:after="160"/>
        <w:jc w:val="both"/>
      </w:pPr>
      <w:r>
        <w:rPr>
          <w:b/>
          <w:bCs/>
        </w:rPr>
        <w:t xml:space="preserve">Arquitetura protecionista em três níveis. </w:t>
      </w:r>
      <w:r>
        <w:t>O quadro regulatório americano sob a administração Trump 2.0 combina três mecanismos: (i) controles de exportação herdados de Biden e reforçados, segmentando o mundo em três níveis de acesso; (ii) tarifas Section 232 de 25% sobre semicondutores de IA avançados (janeiro de 2026), criando um diferencial de custo direto entre empresas americanas (isentas) e não americanas; (iii) gravidade do capital, com US$ 660 a 690 bilhões em capex anual dos cinco hyperscalers americanos. [6]</w:t>
      </w:r>
    </w:p>
    <w:p w14:paraId="58893874" w14:textId="77777777" w:rsidR="00600556" w:rsidRDefault="00A60B33">
      <w:pPr>
        <w:spacing w:after="160"/>
        <w:jc w:val="both"/>
      </w:pPr>
      <w:r>
        <w:rPr>
          <w:b/>
          <w:bCs/>
        </w:rPr>
        <w:t xml:space="preserve">Convergência dos investimentos aliados para o solo americano. </w:t>
      </w:r>
      <w:r>
        <w:t xml:space="preserve">Os aliados de Tier 1 cofinanciam a supremacia americana em vez de construir sua própria autonomia. O investimento japonês dirigido aos </w:t>
        <w:lastRenderedPageBreak/>
        <w:t>Estados Unidos atinge US$ 550 bilhões, reforçando a concentração de compute no território americano. [7]</w:t>
      </w:r>
    </w:p>
    <w:p w14:paraId="2347AF41" w14:textId="77777777" w:rsidR="00600556" w:rsidRDefault="00A60B33">
      <w:pPr>
        <w:pStyle w:val="Titre2"/>
      </w:pPr>
      <w:r>
        <w:t>5.2 Implicações para a leitura da declaração de Huang</w:t>
      </w:r>
    </w:p>
    <w:p w14:paraId="101B26C9" w14:textId="77777777" w:rsidR="00600556" w:rsidRDefault="00A60B33">
      <w:pPr>
        <w:spacing w:after="160"/>
        <w:jc w:val="both"/>
      </w:pPr>
      <w:r>
        <w:t>Recolocada nesse contexto, a declaração de Jensen Huang adquire significado estrutural. Um engenheiro europeu que "queima tokens" segundo a prescrição de Huang consome compute americano, executado em modelos americanos, alimentado por uma infraestrutura que ele não controla, protegida por uma regulação que não o protege, e tarifada a um custo estruturalmente superior em razão da arquitetura protecionista documentada acima.</w:t>
      </w:r>
    </w:p>
    <w:p w14:paraId="7CAB9C25" w14:textId="77777777" w:rsidR="00600556" w:rsidRDefault="00A60B33">
      <w:pPr>
        <w:spacing w:after="160"/>
        <w:jc w:val="both"/>
      </w:pPr>
      <w:r>
        <w:t>Sua produtividade individual pode aumentar. Sua dependência certamente aumenta. A pergunta "quantos tokens você consome?" não significa portanto "você é produtivo?", mas sim "qual é o seu nível de dependência em relação a uma infraestrutura que você não controla?". Para uma empresa, é uma questão de risco. Para um Estado, é uma questão de soberania.</w:t>
      </w:r>
    </w:p>
    <w:p w14:paraId="5E92414F" w14:textId="77777777" w:rsidR="00600556" w:rsidRDefault="00A60B33">
      <w:pPr>
        <w:pStyle w:val="Titre1"/>
      </w:pPr>
      <w:r>
        <w:t>6. Indicadores de densidade cognitiva: adoção vs. domínio</w:t>
      </w:r>
    </w:p>
    <w:p w14:paraId="2BE055EF" w14:textId="77777777" w:rsidR="00600556" w:rsidRDefault="00A60B33">
      <w:pPr>
        <w:spacing w:after="160"/>
        <w:jc w:val="both"/>
      </w:pPr>
      <w:r>
        <w:t>O verdadeiro indicador de densidade cognitiva de uma nação não é sua taxa de adoção de IA nem o volume de tokens consumidos por suas empresas. É a razão de domínio operacional: a proporção de organizações capazes de transformar uma unidade de compute em valor mensurável, num pipeline controlado, rastreável e auditável.</w:t>
      </w:r>
    </w:p>
    <w:p w14:paraId="584D6A52" w14:textId="77777777" w:rsidR="00600556" w:rsidRDefault="00A60B33">
      <w:pPr>
        <w:spacing w:after="160"/>
        <w:jc w:val="both"/>
      </w:pPr>
      <w:r>
        <w:t>Consideremos duas organizações que gastam cada uma EUR 100.000 por ano em tokens de IA. A primeira opera agentes sem loop de controle, sem scoring, sem rastreabilidade. Produz volume do qual 80% é inutilizável em produção. A segunda construiu um pipeline disciplinado onde cada saída de IA é decomposta, avaliada e auditável. Produz quatro vezes menos volume, mas cada entregável é implantável. A segunda organização apresenta densidade cognitiva superior, apesar de consumo de tokens idêntico ou inferior.</w:t>
      </w:r>
    </w:p>
    <w:p w14:paraId="2CF4A3FB" w14:textId="77777777" w:rsidR="00600556" w:rsidRDefault="00A60B33">
      <w:pPr>
        <w:spacing w:after="160"/>
        <w:jc w:val="both"/>
      </w:pPr>
      <w:r>
        <w:t>Essa razão, domínio operacional em relação à dependência de infraestrutura, constitui o indicador central de competitividade na economia de densidade cognitiva. Aplica-se à escala individual, organizacional e geopolítica.</w:t>
      </w:r>
    </w:p>
    <w:p w14:paraId="4043A601" w14:textId="77777777" w:rsidR="00600556" w:rsidRDefault="00A60B33">
      <w:pPr>
        <w:pStyle w:val="Titre1"/>
      </w:pPr>
      <w:r>
        <w:t>7. Conclusão</w:t>
      </w:r>
    </w:p>
    <w:p w14:paraId="7E445BB0" w14:textId="77777777" w:rsidR="00600556" w:rsidRDefault="00A60B33">
      <w:pPr>
        <w:spacing w:after="160"/>
        <w:jc w:val="both"/>
      </w:pPr>
      <w:r>
        <w:t>A declaração de Jensen Huang sobre o consumo de tokens constitui um objeto de estudo pertinente para a inteligência econômica aplicada ao setor de IA. Lida como conselho gerencial, é defensável num contexto estreito. Lida como ato de estruturação de mercado pelo principal fornecedor mundial de compute de IA, revela uma dinâmica de dependência que o conceito de economia de densidade cognitiva permite formalizar.</w:t>
      </w:r>
    </w:p>
    <w:p w14:paraId="1F7E5B49" w14:textId="77777777" w:rsidR="00600556" w:rsidRDefault="00A60B33">
      <w:pPr>
        <w:spacing w:after="160"/>
        <w:jc w:val="both"/>
      </w:pPr>
      <w:r>
        <w:t>Os dados empíricos disponíveis (MIT, PwC, Forrester, Gartner, IBM) demonstram que o consumo massivo de tokens não se traduz, na grande maioria dos casos, em valor mensurável. O principal beneficiário do aumento desse consumo permanece o fornecedor de infraestrutura, não a organização consumidora.</w:t>
      </w:r>
    </w:p>
    <w:p w14:paraId="4D80CC2C" w14:textId="77777777" w:rsidR="00600556" w:rsidRDefault="00A60B33">
      <w:pPr>
        <w:spacing w:after="160"/>
        <w:jc w:val="both"/>
      </w:pPr>
      <w:r>
        <w:lastRenderedPageBreak/>
        <w:t>O CACI, ao integrar as dimensões energia, semicondutores, compute e regulação, quantifica a assimetria estrutural (razão EUA/UE de 3.4:1, modo Power) que sustenta essa dinâmica. Nesse contexto, o objetivo para a França e a Europa não é a autarquia tecnológica, mas a capacidade de escolher: dominar a razão entre valor produzido e dependência consentida, em cada nível da cadeia.</w:t>
      </w:r>
    </w:p>
    <w:p w14:paraId="612586DA" w14:textId="77777777" w:rsidR="00600556" w:rsidRDefault="00600556">
      <w:pPr>
        <w:pBdr>
          <w:bottom w:val="single" w:sz="2" w:space="1" w:color="999999"/>
        </w:pBdr>
        <w:spacing w:before="400"/>
      </w:pPr>
    </w:p>
    <w:p w14:paraId="77B35559" w14:textId="77777777" w:rsidR="00600556" w:rsidRDefault="00A60B33">
      <w:pPr>
        <w:spacing w:before="200" w:after="120"/>
      </w:pPr>
      <w:r>
        <w:rPr>
          <w:b/>
          <w:bCs/>
        </w:rPr>
        <w:t>Notas</w:t>
      </w:r>
    </w:p>
    <w:p w14:paraId="35DE36B6" w14:textId="77777777" w:rsidR="00600556" w:rsidRDefault="00A60B33">
      <w:pPr>
        <w:spacing w:after="60" w:line="260" w:lineRule="auto"/>
      </w:pPr>
      <w:r>
        <w:rPr>
          <w:color w:val="666666"/>
          <w:sz w:val="18"/>
          <w:szCs w:val="18"/>
        </w:rPr>
        <w:t>[1] Jensen Huang, All-In Podcast, GTC San José, 20 de março de 2026. Citação direta confirmada por Business Insider, Yahoo Finance, CNBC, The Decoder.</w:t>
      </w:r>
    </w:p>
    <w:p w14:paraId="28E5B5DE" w14:textId="77777777" w:rsidR="00600556" w:rsidRDefault="00A60B33">
      <w:pPr>
        <w:spacing w:after="60" w:line="260" w:lineRule="auto"/>
      </w:pPr>
      <w:r>
        <w:rPr>
          <w:color w:val="666666"/>
          <w:sz w:val="18"/>
          <w:szCs w:val="18"/>
        </w:rPr>
        <w:t>[2] Jensen Huang, keynote GTC 2026, San José, 18 de março de 2026.</w:t>
      </w:r>
    </w:p>
    <w:p w14:paraId="0F7EBFA5" w14:textId="77777777" w:rsidR="00600556" w:rsidRDefault="00A60B33">
      <w:pPr>
        <w:spacing w:after="60" w:line="260" w:lineRule="auto"/>
      </w:pPr>
      <w:r>
        <w:rPr>
          <w:color w:val="666666"/>
          <w:sz w:val="18"/>
          <w:szCs w:val="18"/>
        </w:rPr>
        <w:t>[3] Estimativas consolidadas SIA, McKinsey, Epoch AI GPU Clusters Dataset (2025).</w:t>
      </w:r>
    </w:p>
    <w:p w14:paraId="0C8AE70D" w14:textId="77777777" w:rsidR="00600556" w:rsidRDefault="00A60B33">
      <w:pPr>
        <w:spacing w:after="60" w:line="260" w:lineRule="auto"/>
      </w:pPr>
      <w:r>
        <w:rPr>
          <w:color w:val="666666"/>
          <w:sz w:val="18"/>
          <w:szCs w:val="18"/>
        </w:rPr>
        <w:t>[4] Pizzi, F. (2026). AI for Americans First: Protecionismo IA americano, recomposição da ordem tecnológica mundial e consequências para a França e a Europa (2026-2030). Universidade Paris Sorbonne. 103 páginas, 157 notas. https://github.com/mo0ogly/America-First-IA</w:t>
      </w:r>
    </w:p>
    <w:p w14:paraId="47CE837D" w14:textId="77777777" w:rsidR="00600556" w:rsidRDefault="00A60B33">
      <w:pPr>
        <w:spacing w:after="60" w:line="260" w:lineRule="auto"/>
      </w:pPr>
      <w:r>
        <w:rPr>
          <w:color w:val="666666"/>
          <w:sz w:val="18"/>
          <w:szCs w:val="18"/>
        </w:rPr>
        <w:t>[5] Epoch AI GPU Clusters Dataset (2025); IEA Electricity 2024 Report.</w:t>
      </w:r>
    </w:p>
    <w:p w14:paraId="58971ADD" w14:textId="77777777" w:rsidR="00600556" w:rsidRDefault="00A60B33">
      <w:pPr>
        <w:spacing w:after="60" w:line="260" w:lineRule="auto"/>
      </w:pPr>
      <w:r>
        <w:rPr>
          <w:color w:val="666666"/>
          <w:sz w:val="18"/>
          <w:szCs w:val="18"/>
        </w:rPr>
        <w:t>[6] Bureau of Industry and Security (BIS); Section 232 tariffs (janeiro de 2026). Análise detalhada no Capítulo IV.</w:t>
      </w:r>
    </w:p>
    <w:p w14:paraId="37EE82ED" w14:textId="77777777" w:rsidR="00600556" w:rsidRDefault="00A60B33">
      <w:pPr>
        <w:spacing w:after="60" w:line="260" w:lineRule="auto"/>
      </w:pPr>
      <w:r>
        <w:rPr>
          <w:color w:val="666666"/>
          <w:sz w:val="18"/>
          <w:szCs w:val="18"/>
        </w:rPr>
        <w:t>[7] Análise dos fluxos de investimento no Capítulo VI ter (Consequências para a Ásia).</w:t>
      </w:r>
    </w:p>
    <w:p w14:paraId="5421947D" w14:textId="77777777" w:rsidR="00600556" w:rsidRDefault="00A60B33">
      <w:pPr>
        <w:spacing w:after="60" w:line="260" w:lineRule="auto"/>
      </w:pPr>
      <w:r>
        <w:rPr>
          <w:color w:val="666666"/>
          <w:sz w:val="18"/>
          <w:szCs w:val="18"/>
        </w:rPr>
        <w:t>[8] MIT NANDA Initiative (2025). The GenAI Divide: State of AI in Business 2025.</w:t>
      </w:r>
    </w:p>
    <w:p w14:paraId="274A69CF" w14:textId="77777777" w:rsidR="00600556" w:rsidRDefault="00A60B33">
      <w:pPr>
        <w:spacing w:after="60" w:line="260" w:lineRule="auto"/>
      </w:pPr>
      <w:r>
        <w:rPr>
          <w:color w:val="666666"/>
          <w:sz w:val="18"/>
          <w:szCs w:val="18"/>
        </w:rPr>
        <w:t>[9] PwC, 28th Annual Global CEO Survey, Davos, janeiro de 2026.</w:t>
      </w:r>
    </w:p>
    <w:p w14:paraId="6CCA0157" w14:textId="77777777" w:rsidR="00600556" w:rsidRDefault="00A60B33">
      <w:pPr>
        <w:spacing w:after="60" w:line="260" w:lineRule="auto"/>
      </w:pPr>
      <w:r>
        <w:rPr>
          <w:color w:val="666666"/>
          <w:sz w:val="18"/>
          <w:szCs w:val="18"/>
        </w:rPr>
        <w:t>[10] Forrester, AI Investment &amp; ROI Outlook, 2025.</w:t>
      </w:r>
    </w:p>
    <w:p w14:paraId="1CA249F6" w14:textId="77777777" w:rsidR="00600556" w:rsidRDefault="00A60B33">
      <w:pPr>
        <w:spacing w:after="60" w:line="260" w:lineRule="auto"/>
      </w:pPr>
      <w:r>
        <w:rPr>
          <w:color w:val="666666"/>
          <w:sz w:val="18"/>
          <w:szCs w:val="18"/>
        </w:rPr>
        <w:t>[11] Gartner, IT Symposium 2025.</w:t>
      </w:r>
    </w:p>
    <w:p w14:paraId="18FC36D0" w14:textId="77777777" w:rsidR="00600556" w:rsidRDefault="00A60B33">
      <w:pPr>
        <w:spacing w:after="60" w:line="260" w:lineRule="auto"/>
      </w:pPr>
      <w:r>
        <w:rPr>
          <w:color w:val="666666"/>
          <w:sz w:val="18"/>
          <w:szCs w:val="18"/>
        </w:rPr>
        <w:t>[12] IBM Institute for Business Value, CEO Study, maio de 2025.</w:t>
      </w:r>
    </w:p>
    <w:sectPr w:rsidR="00600556">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12EE4C" w14:textId="77777777" w:rsidR="00A60B33" w:rsidRDefault="00A60B33">
      <w:pPr>
        <w:spacing w:line="240" w:lineRule="auto"/>
      </w:pPr>
      <w:r>
        <w:separator/>
      </w:r>
    </w:p>
  </w:endnote>
  <w:endnote w:type="continuationSeparator" w:id="0">
    <w:p w14:paraId="76C5B84F" w14:textId="77777777" w:rsidR="00A60B33" w:rsidRDefault="00A60B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CE5BF" w14:textId="77777777" w:rsidR="00600556" w:rsidRDefault="00A60B33">
    <w:pPr>
      <w:jc w:val="center"/>
    </w:pPr>
    <w:r>
      <w:rPr>
        <w:color w:val="666666"/>
        <w:sz w:val="16"/>
        <w:szCs w:val="16"/>
      </w:rPr>
      <w:t xml:space="preserve">Universidade Paris Sorbonne — Inteligência Econômica e Cibersegurança — </w:t>
    </w:r>
    <w:r>
      <w:rPr>
        <w:color w:val="666666"/>
        <w:sz w:val="16"/>
        <w:szCs w:val="16"/>
      </w:rPr>
      <w:fldChar w:fldCharType="begin"/>
    </w:r>
    <w:r>
      <w:rPr>
        <w:color w:val="666666"/>
        <w:sz w:val="16"/>
        <w:szCs w:val="16"/>
      </w:rPr>
      <w:instrText>PAGE</w:instrText>
    </w:r>
    <w:r>
      <w:rPr>
        <w:color w:val="666666"/>
        <w:sz w:val="16"/>
        <w:szCs w:val="16"/>
      </w:rPr>
      <w:fldChar w:fldCharType="separate"/>
    </w:r>
    <w:r>
      <w:rPr>
        <w:noProof/>
        <w:color w:val="666666"/>
        <w:sz w:val="16"/>
        <w:szCs w:val="16"/>
      </w:rPr>
      <w:t>1</w:t>
    </w:r>
    <w:r>
      <w:rPr>
        <w:color w:val="666666"/>
        <w:sz w:val="16"/>
        <w:szCs w:val="16"/>
      </w:rPr>
      <w:fldChar w:fldCharType="end"/>
    </w:r>
    <w:r>
      <w:rPr>
        <w:color w:val="666666"/>
        <w:sz w:val="16"/>
        <w:szCs w:val="16"/>
      </w:rPr>
      <w:t xml:space="preserve"> / </w:t>
    </w:r>
    <w:r>
      <w:rPr>
        <w:color w:val="666666"/>
        <w:sz w:val="16"/>
        <w:szCs w:val="16"/>
      </w:rPr>
      <w:fldChar w:fldCharType="begin"/>
    </w:r>
    <w:r>
      <w:rPr>
        <w:color w:val="666666"/>
        <w:sz w:val="16"/>
        <w:szCs w:val="16"/>
      </w:rPr>
      <w:instrText>NUMPAGES</w:instrText>
    </w:r>
    <w:r>
      <w:rPr>
        <w:color w:val="666666"/>
        <w:sz w:val="16"/>
        <w:szCs w:val="16"/>
      </w:rPr>
      <w:fldChar w:fldCharType="separate"/>
    </w:r>
    <w:r>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102B5D" w14:textId="77777777" w:rsidR="00A60B33" w:rsidRDefault="00A60B33">
      <w:pPr>
        <w:spacing w:line="240" w:lineRule="auto"/>
      </w:pPr>
      <w:r>
        <w:separator/>
      </w:r>
    </w:p>
  </w:footnote>
  <w:footnote w:type="continuationSeparator" w:id="0">
    <w:p w14:paraId="3E5E3666" w14:textId="77777777" w:rsidR="00A60B33" w:rsidRDefault="00A60B3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54349" w14:textId="77777777" w:rsidR="00600556" w:rsidRDefault="00A60B33">
    <w:pPr>
      <w:jc w:val="right"/>
    </w:pPr>
    <w:r>
      <w:rPr>
        <w:i/>
        <w:iCs/>
        <w:color w:val="666666"/>
        <w:sz w:val="16"/>
        <w:szCs w:val="16"/>
      </w:rPr>
      <w:t>Pizzi, F. (2026) — Nota de pesquisa — Economia de Densidade Cognitiva e Estruturação de Mercado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D5072"/>
    <w:multiLevelType w:val="hybridMultilevel"/>
    <w:tmpl w:val="CA06CDE0"/>
    <w:lvl w:ilvl="0" w:tplc="B63ED9F2">
      <w:start w:val="1"/>
      <w:numFmt w:val="bullet"/>
      <w:lvlText w:val="●"/>
      <w:lvlJc w:val="left"/>
      <w:pPr>
        <w:ind w:left="720" w:hanging="360"/>
      </w:pPr>
    </w:lvl>
    <w:lvl w:ilvl="1" w:tplc="C21425A8">
      <w:start w:val="1"/>
      <w:numFmt w:val="bullet"/>
      <w:lvlText w:val="○"/>
      <w:lvlJc w:val="left"/>
      <w:pPr>
        <w:ind w:left="1440" w:hanging="360"/>
      </w:pPr>
    </w:lvl>
    <w:lvl w:ilvl="2" w:tplc="29EE09AA">
      <w:start w:val="1"/>
      <w:numFmt w:val="bullet"/>
      <w:lvlText w:val="■"/>
      <w:lvlJc w:val="left"/>
      <w:pPr>
        <w:ind w:left="2160" w:hanging="360"/>
      </w:pPr>
    </w:lvl>
    <w:lvl w:ilvl="3" w:tplc="0DD0580E">
      <w:start w:val="1"/>
      <w:numFmt w:val="bullet"/>
      <w:lvlText w:val="●"/>
      <w:lvlJc w:val="left"/>
      <w:pPr>
        <w:ind w:left="2880" w:hanging="360"/>
      </w:pPr>
    </w:lvl>
    <w:lvl w:ilvl="4" w:tplc="A934DBE0">
      <w:start w:val="1"/>
      <w:numFmt w:val="bullet"/>
      <w:lvlText w:val="○"/>
      <w:lvlJc w:val="left"/>
      <w:pPr>
        <w:ind w:left="3600" w:hanging="360"/>
      </w:pPr>
    </w:lvl>
    <w:lvl w:ilvl="5" w:tplc="B6440482">
      <w:start w:val="1"/>
      <w:numFmt w:val="bullet"/>
      <w:lvlText w:val="■"/>
      <w:lvlJc w:val="left"/>
      <w:pPr>
        <w:ind w:left="4320" w:hanging="360"/>
      </w:pPr>
    </w:lvl>
    <w:lvl w:ilvl="6" w:tplc="59FED968">
      <w:start w:val="1"/>
      <w:numFmt w:val="bullet"/>
      <w:lvlText w:val="●"/>
      <w:lvlJc w:val="left"/>
      <w:pPr>
        <w:ind w:left="5040" w:hanging="360"/>
      </w:pPr>
    </w:lvl>
    <w:lvl w:ilvl="7" w:tplc="0CE612DE">
      <w:start w:val="1"/>
      <w:numFmt w:val="bullet"/>
      <w:lvlText w:val="●"/>
      <w:lvlJc w:val="left"/>
      <w:pPr>
        <w:ind w:left="5760" w:hanging="360"/>
      </w:pPr>
    </w:lvl>
    <w:lvl w:ilvl="8" w:tplc="1B5CDA78">
      <w:start w:val="1"/>
      <w:numFmt w:val="bullet"/>
      <w:lvlText w:val="●"/>
      <w:lvlJc w:val="left"/>
      <w:pPr>
        <w:ind w:left="6480" w:hanging="360"/>
      </w:pPr>
    </w:lvl>
  </w:abstractNum>
  <w:num w:numId="1" w16cid:durableId="7610267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0556"/>
    <w:rsid w:val="00600556"/>
    <w:rsid w:val="006E0B67"/>
    <w:rsid w:val="00A60B3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37568"/>
  <w15:docId w15:val="{349D22AD-7297-48D6-887C-0C8D67D76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fr-FR" w:eastAsia="fr-FR"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60"/>
      <w:outlineLvl w:val="0"/>
    </w:pPr>
    <w:rPr>
      <w:b/>
      <w:bCs/>
      <w:color w:val="1A1A1A"/>
      <w:sz w:val="26"/>
      <w:szCs w:val="26"/>
    </w:rPr>
  </w:style>
  <w:style w:type="paragraph" w:styleId="Titre2">
    <w:name w:val="heading 2"/>
    <w:uiPriority w:val="9"/>
    <w:unhideWhenUsed/>
    <w:qFormat/>
    <w:pPr>
      <w:spacing w:before="240" w:after="120"/>
      <w:outlineLvl w:val="1"/>
    </w:pPr>
    <w:rPr>
      <w:b/>
      <w:bCs/>
      <w:color w:val="333333"/>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1960</Words>
  <Characters>10780</Characters>
  <Application>Microsoft Office Word</Application>
  <DocSecurity>0</DocSecurity>
  <Lines>89</Lines>
  <Paragraphs>25</Paragraphs>
  <ScaleCrop>false</ScaleCrop>
  <Company/>
  <LinksUpToDate>false</LinksUpToDate>
  <CharactersWithSpaces>12715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fabrice pizzi</cp:lastModifiedBy>
  <cp:revision>2</cp:revision>
  <cp:lastPrinted>2026-03-23T22:12:00Z</cp:lastPrinted>
  <dcterms:created xsi:type="dcterms:W3CDTF">2026-03-23T21:31:00Z</dcterms:created>
  <dcterms:modified xsi:type="dcterms:W3CDTF">2026-03-23T22:12:00Z</dcterms:modified>
</cp:coreProperties>
</file>