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D6F3E" w14:textId="77777777" w:rsidR="00174B00" w:rsidRPr="00770400" w:rsidRDefault="00174B00" w:rsidP="00174B00">
      <w:pPr>
        <w:shd w:val="clear" w:color="auto" w:fill="D4AC0D"/>
        <w:jc w:val="center"/>
        <w:rPr>
          <w:lang w:val="en-US"/>
        </w:rPr>
      </w:pPr>
      <w:r>
        <w:rPr>
          <w:rFonts w:ascii="Calibri" w:eastAsia="Calibri" w:hAnsi="Calibri" w:cs="Calibri"/>
          <w:b/>
          <w:bCs/>
          <w:color w:val="0B1929"/>
          <w:sz w:val="22"/>
          <w:szCs w:val="22"/>
          <w:lang w:val="en-US"/>
        </w:rPr>
        <w:t>RESEARCH STUDY — FEBRUARY 2026</w:t>
      </w:r>
    </w:p>
    <w:p w14:paraId="3581817B" w14:textId="77777777" w:rsidR="00174B00" w:rsidRPr="00770400" w:rsidRDefault="00174B00" w:rsidP="00174B00">
      <w:pPr>
        <w:spacing w:before="600"/>
        <w:rPr>
          <w:lang w:val="en-US"/>
        </w:rPr>
      </w:pPr>
    </w:p>
    <w:p w14:paraId="44510B00" w14:textId="77777777" w:rsidR="00174B00" w:rsidRPr="00770400" w:rsidRDefault="00174B00" w:rsidP="00174B00">
      <w:pPr>
        <w:spacing w:before="200" w:after="100"/>
        <w:jc w:val="center"/>
        <w:rPr>
          <w:lang w:val="en-US"/>
        </w:rPr>
      </w:pPr>
      <w:r>
        <w:rPr>
          <w:rFonts w:ascii="Calibri" w:eastAsia="Calibri" w:hAnsi="Calibri" w:cs="Calibri"/>
          <w:b/>
          <w:bCs/>
          <w:color w:val="0B1929"/>
          <w:sz w:val="72"/>
          <w:szCs w:val="72"/>
          <w:lang w:val="en-US"/>
        </w:rPr>
        <w:t>AI FOR AMERICANS FIRST</w:t>
      </w:r>
    </w:p>
    <w:p w14:paraId="741FC521" w14:textId="77777777" w:rsidR="00174B00" w:rsidRPr="00770400" w:rsidRDefault="00174B00" w:rsidP="00174B00">
      <w:pPr>
        <w:spacing w:before="100" w:after="100"/>
        <w:jc w:val="center"/>
        <w:rPr>
          <w:lang w:val="en-US"/>
        </w:rPr>
      </w:pPr>
      <w:r>
        <w:rPr>
          <w:rFonts w:ascii="Calibri" w:eastAsia="Calibri" w:hAnsi="Calibri" w:cs="Calibri"/>
          <w:color w:val="0B1929"/>
          <w:sz w:val="28"/>
          <w:szCs w:val="28"/>
          <w:lang w:val="en-US"/>
        </w:rPr>
        <w:t>AI, Energy &amp; Semiconductor Protectionism:</w:t>
      </w:r>
    </w:p>
    <w:p w14:paraId="01DA83CB" w14:textId="77777777" w:rsidR="00174B00" w:rsidRPr="00770400" w:rsidRDefault="00174B00" w:rsidP="00174B00">
      <w:pPr>
        <w:spacing w:before="100" w:after="100"/>
        <w:jc w:val="center"/>
        <w:rPr>
          <w:lang w:val="en-US"/>
        </w:rPr>
      </w:pPr>
      <w:r>
        <w:rPr>
          <w:rFonts w:ascii="Calibri" w:eastAsia="Calibri" w:hAnsi="Calibri" w:cs="Calibri"/>
          <w:color w:val="0B1929"/>
          <w:sz w:val="28"/>
          <w:szCs w:val="28"/>
          <w:lang w:val="en-US"/>
        </w:rPr>
        <w:t>US/Europe Divergence Trajectories 2024–2030</w:t>
      </w:r>
    </w:p>
    <w:p w14:paraId="36FEBF84" w14:textId="77777777" w:rsidR="00174B00" w:rsidRPr="00770400" w:rsidRDefault="00174B00" w:rsidP="00174B00">
      <w:pPr>
        <w:pBdr>
          <w:bottom w:val="single" w:sz="12" w:space="1" w:color="D4AC0D"/>
        </w:pBdr>
        <w:spacing w:before="100" w:after="200"/>
        <w:jc w:val="center"/>
        <w:rPr>
          <w:lang w:val="en-US"/>
        </w:rPr>
      </w:pPr>
      <w:r>
        <w:rPr>
          <w:rFonts w:ascii="Calibri" w:eastAsia="Calibri" w:hAnsi="Calibri" w:cs="Calibri"/>
          <w:color w:val="0B1929"/>
          <w:lang w:val="en-US"/>
        </w:rPr>
        <w:t>Integrated Geostrategic and Economic Analysis</w:t>
      </w:r>
    </w:p>
    <w:p w14:paraId="6605EA58" w14:textId="0CDAA74A" w:rsidR="00174B00" w:rsidRPr="00174B00" w:rsidRDefault="00174B00" w:rsidP="00174B00">
      <w:pPr>
        <w:spacing w:before="400" w:after="200"/>
        <w:jc w:val="center"/>
        <w:rPr>
          <w:lang w:val="en-US"/>
        </w:rPr>
      </w:pPr>
      <w:r>
        <w:rPr>
          <w:rFonts w:ascii="Calibri" w:eastAsia="Calibri" w:hAnsi="Calibri" w:cs="Calibri"/>
          <w:b/>
          <w:bCs/>
          <w:color w:val="0B1929"/>
          <w:sz w:val="48"/>
          <w:szCs w:val="48"/>
          <w:lang w:val="en-US"/>
        </w:rPr>
        <w:t>FAQ 3</w:t>
      </w:r>
    </w:p>
    <w:p w14:paraId="0BFC1614" w14:textId="77777777" w:rsidR="00174B00" w:rsidRPr="00174B00" w:rsidRDefault="00174B00" w:rsidP="00174B00">
      <w:pPr>
        <w:spacing w:before="60" w:after="60"/>
        <w:jc w:val="center"/>
        <w:rPr>
          <w:lang w:val="en-US"/>
        </w:rPr>
      </w:pPr>
      <w:r>
        <w:rPr>
          <w:rFonts w:ascii="Calibri" w:eastAsia="Calibri" w:hAnsi="Calibri" w:cs="Calibri"/>
          <w:color w:val="333333"/>
          <w:sz w:val="22"/>
          <w:szCs w:val="22"/>
          <w:lang w:val="en-US"/>
        </w:rPr>
        <w:t>Fabrice Pizzi</w:t>
      </w:r>
    </w:p>
    <w:p w14:paraId="60E7A427" w14:textId="77777777" w:rsidR="00174B00" w:rsidRPr="00174B00" w:rsidRDefault="00174B00" w:rsidP="00174B00">
      <w:pPr>
        <w:spacing w:before="60" w:after="60"/>
        <w:jc w:val="center"/>
        <w:rPr>
          <w:lang w:val="en-US"/>
        </w:rPr>
      </w:pPr>
      <w:r>
        <w:rPr>
          <w:rFonts w:ascii="Calibri" w:eastAsia="Calibri" w:hAnsi="Calibri" w:cs="Calibri"/>
          <w:color w:val="333333"/>
          <w:sz w:val="22"/>
          <w:szCs w:val="22"/>
          <w:lang w:val="en-US"/>
        </w:rPr>
        <w:t>Sorbonne University</w:t>
      </w:r>
    </w:p>
    <w:p w14:paraId="3191506C" w14:textId="77777777" w:rsidR="00174B00" w:rsidRPr="00770400" w:rsidRDefault="00174B00" w:rsidP="00174B00">
      <w:pPr>
        <w:spacing w:before="60" w:after="60"/>
        <w:jc w:val="center"/>
        <w:rPr>
          <w:lang w:val="en-US"/>
        </w:rPr>
      </w:pPr>
      <w:r>
        <w:rPr>
          <w:rFonts w:ascii="Calibri" w:eastAsia="Calibri" w:hAnsi="Calibri" w:cs="Calibri"/>
          <w:color w:val="333333"/>
          <w:sz w:val="22"/>
          <w:szCs w:val="22"/>
          <w:lang w:val="en-US"/>
        </w:rPr>
        <w:t>Master in Economic Intelligence — Intelligence Warfare</w:t>
      </w:r>
    </w:p>
    <w:p w14:paraId="2EC71A6C" w14:textId="77777777" w:rsidR="00174B00" w:rsidRPr="00770400" w:rsidRDefault="00174B00" w:rsidP="00174B00">
      <w:pPr>
        <w:shd w:val="clear" w:color="auto" w:fill="F0F0F0"/>
        <w:spacing w:before="300" w:after="100"/>
        <w:jc w:val="center"/>
        <w:rPr>
          <w:lang w:val="en-US"/>
        </w:rPr>
      </w:pP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>77% global AI compute = USA | $675B US capex 2026 | 3.4× US/EU ratio (Power mode)</w:t>
      </w:r>
    </w:p>
    <w:p w14:paraId="274D7D40" w14:textId="77777777" w:rsidR="00174B00" w:rsidRPr="00770400" w:rsidRDefault="00174B00" w:rsidP="00174B00">
      <w:pPr>
        <w:spacing w:before="200" w:after="100"/>
        <w:jc w:val="center"/>
        <w:rPr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Paris — February 2026</w:t>
      </w:r>
    </w:p>
    <w:p w14:paraId="62CAB5D2" w14:textId="77777777" w:rsidR="00174B00" w:rsidRPr="00770400" w:rsidRDefault="00174B00" w:rsidP="00174B00">
      <w:pPr>
        <w:spacing w:before="100" w:after="100"/>
        <w:jc w:val="center"/>
        <w:rPr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7 chapters • 4 prospective scenarios • 3 geographical zones</w:t>
      </w:r>
    </w:p>
    <w:p w14:paraId="15AE34A0" w14:textId="77777777" w:rsidR="00174B00" w:rsidRDefault="00174B00" w:rsidP="00174B00">
      <w:pPr>
        <w:spacing w:before="200" w:after="400"/>
        <w:rPr>
          <w:i/>
          <w:iCs/>
          <w:sz w:val="20"/>
          <w:szCs w:val="20"/>
          <w:lang w:val="en-US"/>
        </w:rPr>
      </w:pPr>
    </w:p>
    <w:p w14:paraId="572590DA" w14:textId="77777777" w:rsidR="00174B00" w:rsidRDefault="00174B00" w:rsidP="00174B00">
      <w:pPr>
        <w:spacing w:before="200" w:after="400"/>
        <w:rPr>
          <w:i/>
          <w:iCs/>
          <w:sz w:val="20"/>
          <w:szCs w:val="20"/>
          <w:lang w:val="en-US"/>
        </w:rPr>
      </w:pPr>
    </w:p>
    <w:p w14:paraId="5732D3E9" w14:textId="77777777" w:rsidR="00174B00" w:rsidRDefault="00174B00" w:rsidP="00174B00">
      <w:pPr>
        <w:spacing w:before="200" w:after="400"/>
        <w:rPr>
          <w:i/>
          <w:iCs/>
          <w:sz w:val="20"/>
          <w:szCs w:val="20"/>
          <w:lang w:val="en-US"/>
        </w:rPr>
      </w:pPr>
    </w:p>
    <w:p w14:paraId="53F86DE1" w14:textId="77777777" w:rsidR="00174B00" w:rsidRDefault="00174B00" w:rsidP="00174B00">
      <w:pPr>
        <w:spacing w:before="200" w:after="400"/>
        <w:rPr>
          <w:i/>
          <w:iCs/>
          <w:sz w:val="20"/>
          <w:szCs w:val="20"/>
          <w:lang w:val="en-US"/>
        </w:rPr>
      </w:pPr>
    </w:p>
    <w:p w14:paraId="7C9C4194" w14:textId="77777777" w:rsidR="00174B00" w:rsidRDefault="00174B00" w:rsidP="00174B00">
      <w:pPr>
        <w:spacing w:before="200" w:after="400"/>
        <w:rPr>
          <w:i/>
          <w:iCs/>
          <w:sz w:val="20"/>
          <w:szCs w:val="20"/>
          <w:lang w:val="en-US"/>
        </w:rPr>
      </w:pPr>
    </w:p>
    <w:p w14:paraId="118CB9BD" w14:textId="77777777" w:rsidR="00174B00" w:rsidRDefault="00174B00" w:rsidP="00174B00">
      <w:pPr>
        <w:spacing w:before="200" w:after="400"/>
        <w:rPr>
          <w:i/>
          <w:iCs/>
          <w:sz w:val="20"/>
          <w:szCs w:val="20"/>
          <w:lang w:val="en-US"/>
        </w:rPr>
      </w:pPr>
    </w:p>
    <w:p w14:paraId="5EBE3B95" w14:textId="77777777" w:rsidR="00174B00" w:rsidRDefault="00174B00" w:rsidP="00174B00">
      <w:pPr>
        <w:spacing w:before="200" w:after="400"/>
        <w:rPr>
          <w:i/>
          <w:iCs/>
          <w:sz w:val="20"/>
          <w:szCs w:val="20"/>
          <w:lang w:val="en-US"/>
        </w:rPr>
      </w:pPr>
    </w:p>
    <w:p w14:paraId="4300BE9C" w14:textId="77777777" w:rsidR="00174B00" w:rsidRDefault="00174B00" w:rsidP="00174B00">
      <w:pPr>
        <w:spacing w:before="200" w:after="400"/>
        <w:rPr>
          <w:i/>
          <w:iCs/>
          <w:sz w:val="20"/>
          <w:szCs w:val="20"/>
          <w:lang w:val="en-US"/>
        </w:rPr>
      </w:pPr>
    </w:p>
    <w:p w14:paraId="0E9D4DB4" w14:textId="77777777" w:rsidR="00174B00" w:rsidRDefault="00174B00" w:rsidP="00174B00">
      <w:pPr>
        <w:spacing w:before="200" w:after="400"/>
        <w:rPr>
          <w:i/>
          <w:iCs/>
          <w:sz w:val="20"/>
          <w:szCs w:val="20"/>
          <w:lang w:val="en-US"/>
        </w:rPr>
      </w:pPr>
      <w:r>
        <w:rPr>
          <w:rFonts w:ascii="Calibri" w:eastAsia="Calibri" w:hAnsi="Calibri" w:cs="Calibri"/>
          <w:i/>
          <w:iCs/>
          <w:sz w:val="20"/>
          <w:szCs w:val="20"/>
          <w:lang w:val="en-US"/>
        </w:rPr>
        <w:t>Keywords: artificial intelligence, technology protectionism, semiconductors, export controls, sovereign compute, AI geopolitics, France, United States, China</w:t>
      </w:r>
    </w:p>
    <w:p w14:paraId="43BA9C80" w14:textId="77777777" w:rsidR="00174B00" w:rsidRPr="004E580A" w:rsidRDefault="00174B00" w:rsidP="00174B00">
      <w:pPr>
        <w:spacing w:before="200" w:after="400"/>
        <w:rPr>
          <w:lang w:val="en-US"/>
        </w:rPr>
      </w:pPr>
      <w:bookmarkStart w:id="0" w:name="_Hlk222996232"/>
    </w:p>
    <w:p w14:paraId="6912B77C" w14:textId="77777777" w:rsidR="00174B00" w:rsidRPr="004E580A" w:rsidRDefault="00174B00" w:rsidP="00174B00">
      <w:pPr>
        <w:shd w:val="clear" w:color="auto" w:fill="D4AC0D"/>
        <w:rPr>
          <w:lang w:val="en-US"/>
        </w:rPr>
        <w:sectPr w:rsidR="00174B00" w:rsidRPr="004E580A" w:rsidSect="00174B00">
          <w:foot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sz w:val="28"/>
          <w:szCs w:val="28"/>
          <w:lang w:val="en-US"/>
        </w:rPr>
        <w:t xml:space="preserve"> </w:t>
      </w:r>
    </w:p>
    <w:bookmarkEnd w:id="0"/>
    <w:p w14:paraId="6C076930" w14:textId="77777777" w:rsidR="00E50330" w:rsidRPr="00174B00" w:rsidRDefault="00000000">
      <w:pPr>
        <w:pBdr>
          <w:top w:val="single" w:sz="3" w:space="8" w:color="1B4F72"/>
        </w:pBdr>
        <w:spacing w:before="200" w:after="100"/>
        <w:rPr>
          <w:lang w:val="pt-BR"/>
        </w:rPr>
      </w:pPr>
      <w:r>
        <w:rPr>
          <w:b/>
          <w:bCs/>
          <w:color w:val="1B4F72"/>
          <w:sz w:val="22"/>
          <w:szCs w:val="22"/>
          <w:lang w:val="pt-BR"/>
        </w:rPr>
        <w:lastRenderedPageBreak/>
        <w:t>Sobre este documento</w:t>
      </w:r>
    </w:p>
    <w:p w14:paraId="735B4182" w14:textId="77777777" w:rsidR="00E50330" w:rsidRPr="00174B00" w:rsidRDefault="00000000">
      <w:pPr>
        <w:spacing w:after="100" w:line="276" w:lineRule="auto"/>
        <w:jc w:val="both"/>
        <w:rPr>
          <w:lang w:val="pt-BR"/>
        </w:rPr>
      </w:pPr>
      <w:r>
        <w:rPr>
          <w:color w:val="1B1B1B"/>
          <w:lang w:val="pt-BR"/>
        </w:rPr>
        <w:t xml:space="preserve">Este terceiro volume responde à </w:t>
      </w:r>
      <w:r>
        <w:rPr>
          <w:b/>
          <w:bCs/>
          <w:color w:val="1B1B1B"/>
          <w:lang w:val="pt-BR"/>
        </w:rPr>
        <w:t>pergunta mais frequente</w:t>
      </w:r>
      <w:r>
        <w:rPr>
          <w:color w:val="1B1B1B"/>
          <w:lang w:val="pt-BR"/>
        </w:rPr>
        <w:t xml:space="preserve"> sobre o estudo: “Por que a Europa tem 3.4 vezes menos compute efetivo que os EUA (modo Power), sendo que poderia simplesmente investir mais — ou usar a nuvem americana?” Este documento decompõe a resposta em </w:t>
      </w:r>
      <w:r>
        <w:rPr>
          <w:b/>
          <w:bCs/>
          <w:color w:val="1B1B1B"/>
          <w:lang w:val="pt-BR"/>
        </w:rPr>
        <w:t>10 perguntas progressivas</w:t>
      </w:r>
      <w:r>
        <w:rPr>
          <w:color w:val="1B1B1B"/>
          <w:lang w:val="pt-BR"/>
        </w:rPr>
        <w:t>, do mais intuitivo ao mais estratégico. Pode ser lido independentemente dos Volumes 1 e 2.</w:t>
      </w:r>
    </w:p>
    <w:p w14:paraId="0EED07CC" w14:textId="77777777" w:rsidR="00E50330" w:rsidRPr="00174B00" w:rsidRDefault="00000000">
      <w:pPr>
        <w:pBdr>
          <w:bottom w:val="single" w:sz="3" w:space="8" w:color="1B4F72"/>
        </w:pBdr>
        <w:spacing w:after="200"/>
        <w:rPr>
          <w:lang w:val="pt-BR"/>
        </w:rPr>
      </w:pPr>
      <w:r>
        <w:rPr>
          <w:b/>
          <w:bCs/>
          <w:color w:val="666666"/>
          <w:sz w:val="20"/>
          <w:szCs w:val="20"/>
          <w:lang w:val="pt-BR"/>
        </w:rPr>
        <w:t xml:space="preserve">Repositório: </w:t>
      </w:r>
      <w:r>
        <w:rPr>
          <w:color w:val="2E86C1"/>
          <w:sz w:val="20"/>
          <w:szCs w:val="20"/>
          <w:lang w:val="pt-BR"/>
        </w:rPr>
        <w:t>https://mo0ogly.github.io/America-First-IA/</w:t>
      </w:r>
    </w:p>
    <w:p w14:paraId="3650E26B" w14:textId="77777777" w:rsidR="00E50330" w:rsidRPr="00174B00" w:rsidRDefault="00000000">
      <w:pPr>
        <w:rPr>
          <w:lang w:val="pt-BR"/>
        </w:rPr>
      </w:pPr>
      <w:r>
        <w:rPr>
          <w:lang w:val="pt-BR"/>
        </w:rPr>
        <w:br w:type="page"/>
      </w:r>
    </w:p>
    <w:p w14:paraId="580AFD62" w14:textId="77777777" w:rsidR="00E50330" w:rsidRPr="00174B00" w:rsidRDefault="00000000">
      <w:pPr>
        <w:pStyle w:val="Titre1"/>
        <w:pBdr>
          <w:bottom w:val="single" w:sz="3" w:space="6" w:color="1B4F72"/>
        </w:pBdr>
        <w:rPr>
          <w:lang w:val="pt-BR"/>
        </w:rPr>
      </w:pPr>
      <w:r>
        <w:rPr>
          <w:lang w:val="pt-BR"/>
        </w:rPr>
        <w:lastRenderedPageBreak/>
        <w:t>PARTE A — Compreendendo o ratio: por que 3.4:1 (modo Power) e não 1,5:1?</w:t>
      </w:r>
    </w:p>
    <w:p w14:paraId="38A782A0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Q1. </w:t>
      </w:r>
      <w:r>
        <w:rPr>
          <w:b/>
          <w:bCs/>
          <w:color w:val="1B4F72"/>
          <w:lang w:val="pt-BR"/>
        </w:rPr>
        <w:t>O ratio CACI EUA/UE é de 3.4:1 (modo Power). Mas os EUA são mais ricos que a Europa. Isso não é normal? “Você paga, você recebe”?</w:t>
      </w:r>
      <w:r>
        <w:rPr>
          <w:i/>
          <w:iCs/>
          <w:color w:val="666666"/>
          <w:sz w:val="20"/>
          <w:szCs w:val="20"/>
          <w:lang w:val="pt-BR"/>
        </w:rPr>
        <w:t xml:space="preserve">  [Público geral / Decisor]</w:t>
      </w:r>
    </w:p>
    <w:p w14:paraId="0D4B0ECB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Esta é a objeção mais natural — e a mais disseminada. Mas ela se baseia em uma confusão entre compute bruto e o CACI.</w:t>
      </w:r>
    </w:p>
    <w:p w14:paraId="13832CFC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O CACI é normalizado pelo PIB.</w:t>
      </w:r>
      <w:r>
        <w:rPr>
          <w:color w:val="333333"/>
          <w:sz w:val="23"/>
          <w:szCs w:val="23"/>
          <w:lang w:val="pt-BR"/>
        </w:rPr>
        <w:t xml:space="preserve"> Essa é toda a sutileza do índice. A fórmula é: CACI(r) = ∏ᵢ Xᵢ(r)^wᵢ (média geométrica ponderada; modo Power w=[0.4,0.25,0.2,0.15], modo Balanced w=[0.25,0.25,0.25,0.25]). O ratio de 3.4:1 (modo Power) não significa “os EUA têm 3.4× mais compute em termos absolutos”. O ratio bruto é de ~15:1 (Epoch AI). O CACI diz algo muito mais preciso:</w:t>
      </w:r>
    </w:p>
    <w:p w14:paraId="2A616B9B" w14:textId="77777777" w:rsidR="00E50330" w:rsidRPr="00174B00" w:rsidRDefault="00000000">
      <w:pPr>
        <w:pBdr>
          <w:left w:val="single" w:sz="6" w:space="8" w:color="D4AC0D"/>
        </w:pBdr>
        <w:shd w:val="clear" w:color="auto" w:fill="FEF9E7"/>
        <w:spacing w:before="100" w:after="200" w:line="276" w:lineRule="auto"/>
        <w:ind w:left="360" w:right="360"/>
        <w:jc w:val="both"/>
        <w:rPr>
          <w:lang w:val="pt-BR"/>
        </w:rPr>
      </w:pPr>
      <w:r>
        <w:rPr>
          <w:b/>
          <w:bCs/>
          <w:color w:val="1B4F72"/>
          <w:sz w:val="22"/>
          <w:szCs w:val="22"/>
          <w:lang w:val="pt-BR"/>
        </w:rPr>
        <w:t>“Com tamanho econômico comparável e capital humano comparável, os atores americanos dispõem de 3.4 vezes mais compute efetivo que os europeus (modo Power).”</w:t>
      </w:r>
    </w:p>
    <w:p w14:paraId="7669EBA7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Vamos fazer a conta simples. O PIB dos EUA é de ~US$ 28 trilhões, o da UE de ~US$ 18 trilhões. O PIB americano é ~1,5× maior. Se fosse simplesmente uma questão de investimento proporcional ao PIB (“você paga, você recebe”), o ratio de compute deveria ser de 1,5:1.</w:t>
      </w:r>
    </w:p>
    <w:p w14:paraId="58825768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Mas ele é de 3.4:1 (modo Power). A pergunta é: de onde vêm os ~2× restantes?</w:t>
      </w:r>
      <w:r>
        <w:rPr>
          <w:color w:val="333333"/>
          <w:sz w:val="23"/>
          <w:szCs w:val="23"/>
          <w:lang w:val="pt-BR"/>
        </w:rPr>
        <w:t xml:space="preserve"> Essa é a contribuição central do estudo: esses 5–10× vêm de fatores estruturais que o investimento sozinho não consegue compensar.</w:t>
      </w:r>
    </w:p>
    <w:p w14:paraId="1B6026CC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Q2. </w:t>
      </w:r>
      <w:r>
        <w:rPr>
          <w:b/>
          <w:bCs/>
          <w:color w:val="1B4F72"/>
          <w:lang w:val="pt-BR"/>
        </w:rPr>
        <w:t>Certo. Então de onde vêm esses 5–10× adicionais?</w:t>
      </w:r>
      <w:r>
        <w:rPr>
          <w:i/>
          <w:iCs/>
          <w:color w:val="666666"/>
          <w:sz w:val="20"/>
          <w:szCs w:val="20"/>
          <w:lang w:val="pt-BR"/>
        </w:rPr>
        <w:t xml:space="preserve">  [Público geral / Decisor]</w:t>
      </w:r>
    </w:p>
    <w:p w14:paraId="52BD16CE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Três fatores estruturais explicam a diferença entre o ratio “esperado” (1,5:1) e o “observado” (3.4:1, modo Power). Nenhum dos três se resolve “gastando mais”.</w:t>
      </w:r>
    </w:p>
    <w:p w14:paraId="3B20CD9B" w14:textId="77777777" w:rsidR="00E50330" w:rsidRPr="00174B00" w:rsidRDefault="00000000">
      <w:pPr>
        <w:pStyle w:val="Titre2"/>
        <w:spacing w:after="180"/>
        <w:rPr>
          <w:lang w:val="pt-BR"/>
        </w:rPr>
      </w:pPr>
      <w:r>
        <w:rPr>
          <w:lang w:val="pt-BR"/>
        </w:rPr>
        <w:t>Fator 1: custo da energia (×2–3 contra a UE)</w:t>
      </w:r>
    </w:p>
    <w:p w14:paraId="747C74F1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Um FLOP de computação de IA na Europa custa 2 a 3 vezes mais que nos Estados Unidos. A eletricidade industrial custa US$ 110–145/MWh na Europa contra US$ 50–65/MWh nos EUA. Concretamente: mesmo que a Europa investisse a mesma quantia, obteria 2 a 3 vezes menos compute útil. Um data center de 500 MW na Europa custa ~60% mais em eletricidade que um idêntico no Texas ou na Virgínia.</w:t>
      </w:r>
    </w:p>
    <w:p w14:paraId="659F463F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Isso não é uma escolha de investimento — é uma restrição estrutural ligada ao mix energético, à tributação de carbono e à regulação dos mercados de eletricidade na Europa. É exatamente por isso que a recomendação nº 1 são as Special Compute Zones com energia a US$ 50–60/MWh via PPAs nucleares.</w:t>
      </w:r>
    </w:p>
    <w:p w14:paraId="2A56D31A" w14:textId="77777777" w:rsidR="00E50330" w:rsidRPr="00174B00" w:rsidRDefault="00000000">
      <w:pPr>
        <w:pStyle w:val="Titre2"/>
        <w:spacing w:after="180"/>
        <w:rPr>
          <w:lang w:val="pt-BR"/>
        </w:rPr>
      </w:pPr>
      <w:r>
        <w:rPr>
          <w:lang w:val="pt-BR"/>
        </w:rPr>
        <w:t>Fator 2: controles de exportação + Seção 232 (prioridade de entrega)</w:t>
      </w:r>
    </w:p>
    <w:p w14:paraId="5FED5BB8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 xml:space="preserve">Mesmo com orçamento, você não pode comprar o que não é entregue. A Nvidia produz um número finito de GPUs H100/H200/B200 por trimestre. As isenções domésticas americanas significam que os hyperscalers dos EUA (Microsoft, Google, Amazon, Meta, </w:t>
        <w:lastRenderedPageBreak/>
        <w:t>xAI) são atendidos primeiro. Em período de escassez estrutural — o que é o caso desde 2023 — os pedidos europeus ficam para depois, com atrasos de 3 a 6 meses.</w:t>
      </w:r>
    </w:p>
    <w:p w14:paraId="2FE4826D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 xml:space="preserve">Além disso, a Seção 232 (janeiro 2026) impõe tarifas de 25% sobre semicondutores de IA avançados importados. </w:t>
      </w:r>
      <w:r>
        <w:rPr>
          <w:b/>
          <w:bCs/>
          <w:color w:val="333333"/>
          <w:sz w:val="23"/>
          <w:szCs w:val="23"/>
          <w:lang w:val="pt-BR"/>
        </w:rPr>
        <w:t>Mesmo que as empresas europeias comprando para uso doméstico não paguem diretamente essa tarifa, o efeito de anúncio cria incerteza regulatória</w:t>
      </w:r>
      <w:r>
        <w:rPr>
          <w:color w:val="333333"/>
          <w:sz w:val="23"/>
          <w:szCs w:val="23"/>
          <w:lang w:val="pt-BR"/>
        </w:rPr>
        <w:t>: a Proclamação prevê explicitamente uma ampliação possível até julho de 2026. Qual investidor vai comprometer €2 bilhões em um data center europeu se as GPUs podem custar 25% a mais em 6 meses?</w:t>
      </w:r>
    </w:p>
    <w:p w14:paraId="6C6C6E9B" w14:textId="77777777" w:rsidR="00E50330" w:rsidRPr="00174B00" w:rsidRDefault="00000000">
      <w:pPr>
        <w:pStyle w:val="Titre2"/>
        <w:spacing w:after="180"/>
        <w:rPr>
          <w:lang w:val="pt-BR"/>
        </w:rPr>
      </w:pPr>
      <w:r>
        <w:rPr>
          <w:lang w:val="pt-BR"/>
        </w:rPr>
        <w:t>Fator 3: efeito de gravidade do capital (fuga de investimentos)</w:t>
      </w:r>
    </w:p>
    <w:p w14:paraId="16DC1670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Este é o fator mais pernicioso. Os investidores racionais — incluindo europeus e aliados — investem nos EUA em vez da UE, porque o retorno sobre o investimento é melhor: energia mais barata, compute mais denso, mercado maior, ecossistema de talentos mais concentrado.</w:t>
      </w:r>
    </w:p>
    <w:p w14:paraId="14559058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O Japão investiu US$ 550 bilhões em solo americano</w:t>
      </w:r>
      <w:r>
        <w:rPr>
          <w:color w:val="333333"/>
          <w:sz w:val="23"/>
          <w:szCs w:val="23"/>
          <w:lang w:val="pt-BR"/>
        </w:rPr>
        <w:t xml:space="preserve"> — dinheiro que poderia ter construído compute japonês (ou europeu por meio de parcerias). Os Emirados convergem para os EUA. Até as empresas europeias (</w:t>
      </w:r>
      <w:r>
        <w:rPr>
          <w:b/>
          <w:bCs/>
          <w:color w:val="333333"/>
          <w:sz w:val="23"/>
          <w:szCs w:val="23"/>
          <w:lang w:val="pt-BR"/>
        </w:rPr>
        <w:t>72–80% dos workloads de IA da UE em infraestrutura dos EUA</w:t>
      </w:r>
      <w:r>
        <w:rPr>
          <w:color w:val="333333"/>
          <w:sz w:val="23"/>
          <w:szCs w:val="23"/>
          <w:lang w:val="pt-BR"/>
        </w:rPr>
        <w:t>) votam com os pés.</w:t>
      </w:r>
    </w:p>
    <w:p w14:paraId="318F48A7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É o dilema do prisioneiro: individualmente, cada ator otimiza investindo nos EUA. Coletivamente, o resultado é uma perda de soberania tecnológica para todos os aliados.</w:t>
      </w:r>
    </w:p>
    <w:p w14:paraId="60E2E97C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Q3. </w:t>
      </w:r>
      <w:r>
        <w:rPr>
          <w:b/>
          <w:bCs/>
          <w:color w:val="1B4F72"/>
          <w:lang w:val="pt-BR"/>
        </w:rPr>
        <w:t>Em resumo, por que “simplesmente investir mais” não funciona?</w:t>
      </w:r>
      <w:r>
        <w:rPr>
          <w:i/>
          <w:iCs/>
          <w:color w:val="666666"/>
          <w:sz w:val="20"/>
          <w:szCs w:val="20"/>
          <w:lang w:val="pt-BR"/>
        </w:rPr>
        <w:t xml:space="preserve">  [Público geral]</w:t>
      </w:r>
    </w:p>
    <w:p w14:paraId="7C242A70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Porque o problema não é de volume de investimento. É um problema estrutural. Aqui está a decomposição:</w:t>
      </w:r>
    </w:p>
    <w:p w14:paraId="127CF636" w14:textId="77777777" w:rsidR="00E50330" w:rsidRPr="00174B00" w:rsidRDefault="00000000">
      <w:pPr>
        <w:spacing w:after="60" w:line="276" w:lineRule="auto"/>
        <w:jc w:val="both"/>
        <w:rPr>
          <w:lang w:val="pt-BR"/>
        </w:rPr>
      </w:pPr>
      <w:r>
        <w:rPr>
          <w:color w:val="1B1B1B"/>
          <w:sz w:val="6"/>
          <w:szCs w:val="6"/>
          <w:lang w:val="pt-BR"/>
        </w:rPr>
        <w:t xml:space="preserve">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500"/>
        <w:gridCol w:w="2500"/>
      </w:tblGrid>
      <w:tr w:rsidR="00E50330" w14:paraId="12772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E4244" w14:textId="77777777" w:rsidR="00E5033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23F0" w14:textId="77777777" w:rsidR="00E50330" w:rsidRDefault="00000000">
            <w:r>
              <w:rPr>
                <w:b/>
                <w:bCs/>
                <w:color w:val="FFFFFF"/>
                <w:sz w:val="20"/>
                <w:szCs w:val="20"/>
              </w:rPr>
              <w:t>Ratio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83FA" w14:textId="77777777" w:rsidR="00E50330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0D34" w14:textId="77777777" w:rsidR="00E50330" w:rsidRDefault="00000000">
            <w:r>
              <w:rPr>
                <w:b/>
                <w:bCs/>
                <w:color w:val="FFFFFF"/>
                <w:sz w:val="20"/>
                <w:szCs w:val="20"/>
              </w:rPr>
              <w:t>Investimento sozinho basta?</w:t>
            </w:r>
          </w:p>
        </w:tc>
      </w:tr>
      <w:tr w:rsidR="00E50330" w14:paraId="78DDB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D70CB" w14:textId="77777777" w:rsidR="00E50330" w:rsidRDefault="00000000">
            <w:r>
              <w:rPr>
                <w:color w:val="1B1B1B"/>
                <w:sz w:val="20"/>
                <w:szCs w:val="20"/>
              </w:rPr>
              <w:t>PIB relativo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CBF7C" w14:textId="77777777" w:rsidR="00E50330" w:rsidRDefault="00000000">
            <w:r>
              <w:rPr>
                <w:color w:val="1B1B1B"/>
                <w:sz w:val="20"/>
                <w:szCs w:val="20"/>
              </w:rPr>
              <w:t>1,5:1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AEA89" w14:textId="77777777" w:rsidR="00E50330" w:rsidRDefault="00000000">
            <w:r>
              <w:rPr>
                <w:color w:val="1B1B1B"/>
                <w:sz w:val="20"/>
                <w:szCs w:val="20"/>
              </w:rPr>
              <w:t>EUA maior que 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48421" w14:textId="77777777" w:rsidR="00E50330" w:rsidRDefault="00000000">
            <w:r>
              <w:rPr>
                <w:color w:val="1B1B1B"/>
                <w:sz w:val="20"/>
                <w:szCs w:val="20"/>
              </w:rPr>
              <w:t>Sim, proporcional</w:t>
            </w:r>
          </w:p>
        </w:tc>
      </w:tr>
      <w:tr w:rsidR="00E50330" w14:paraId="6265F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752C6" w14:textId="77777777" w:rsidR="00E50330" w:rsidRDefault="00000000">
            <w:r>
              <w:rPr>
                <w:color w:val="1B1B1B"/>
                <w:sz w:val="20"/>
                <w:szCs w:val="20"/>
              </w:rPr>
              <w:t>Energia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F6F8A" w14:textId="77777777" w:rsidR="00E50330" w:rsidRDefault="00000000">
            <w:r>
              <w:rPr>
                <w:color w:val="1B1B1B"/>
                <w:sz w:val="20"/>
                <w:szCs w:val="20"/>
              </w:rPr>
              <w:t>×2–3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6D37A" w14:textId="77777777" w:rsidR="00E50330" w:rsidRPr="00174B00" w:rsidRDefault="00000000">
            <w:pPr>
              <w:rPr>
                <w:lang w:val="pt-BR"/>
              </w:rPr>
            </w:pPr>
            <w:r>
              <w:rPr>
                <w:color w:val="1B1B1B"/>
                <w:sz w:val="20"/>
                <w:szCs w:val="20"/>
                <w:lang w:val="pt-BR"/>
              </w:rPr>
              <w:t>Mix energético, taxa carbono, mercado elétrico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BE110" w14:textId="77777777" w:rsidR="00E50330" w:rsidRDefault="00000000">
            <w:r>
              <w:rPr>
                <w:color w:val="1B1B1B"/>
                <w:sz w:val="20"/>
                <w:szCs w:val="20"/>
              </w:rPr>
              <w:t>Não — estrutural</w:t>
            </w:r>
          </w:p>
        </w:tc>
      </w:tr>
      <w:tr w:rsidR="00E50330" w14:paraId="73C65E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375ED" w14:textId="77777777" w:rsidR="00E50330" w:rsidRDefault="00000000">
            <w:r>
              <w:rPr>
                <w:color w:val="1B1B1B"/>
                <w:sz w:val="20"/>
                <w:szCs w:val="20"/>
              </w:rPr>
              <w:t>Prioridade de entrega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FF5DE" w14:textId="77777777" w:rsidR="00E50330" w:rsidRDefault="00000000">
            <w:r>
              <w:rPr>
                <w:color w:val="1B1B1B"/>
                <w:sz w:val="20"/>
                <w:szCs w:val="20"/>
              </w:rPr>
              <w:t>×1,5–2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8075C" w14:textId="77777777" w:rsidR="00E50330" w:rsidRDefault="00000000">
            <w:r>
              <w:rPr>
                <w:color w:val="1B1B1B"/>
                <w:sz w:val="20"/>
                <w:szCs w:val="20"/>
              </w:rPr>
              <w:t>Controles exportação, isenções EUA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F39BB" w14:textId="77777777" w:rsidR="00E50330" w:rsidRDefault="00000000">
            <w:r>
              <w:rPr>
                <w:color w:val="1B1B1B"/>
                <w:sz w:val="20"/>
                <w:szCs w:val="20"/>
              </w:rPr>
              <w:t>Não — geopolítico</w:t>
            </w:r>
          </w:p>
        </w:tc>
      </w:tr>
      <w:tr w:rsidR="00E50330" w14:paraId="69D374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99FC1" w14:textId="77777777" w:rsidR="00E50330" w:rsidRDefault="00000000">
            <w:r>
              <w:rPr>
                <w:color w:val="1B1B1B"/>
                <w:sz w:val="20"/>
                <w:szCs w:val="20"/>
              </w:rPr>
              <w:t>Gravidade do capital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26A16" w14:textId="77777777" w:rsidR="00E50330" w:rsidRDefault="00000000">
            <w:r>
              <w:rPr>
                <w:color w:val="1B1B1B"/>
                <w:sz w:val="20"/>
                <w:szCs w:val="20"/>
              </w:rPr>
              <w:t>×1,5–2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C7F98" w14:textId="77777777" w:rsidR="00E50330" w:rsidRDefault="00000000">
            <w:r>
              <w:rPr>
                <w:color w:val="1B1B1B"/>
                <w:sz w:val="20"/>
                <w:szCs w:val="20"/>
              </w:rPr>
              <w:t>ROI superior nos EUA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7CD80" w14:textId="77777777" w:rsidR="00E50330" w:rsidRDefault="00000000">
            <w:r>
              <w:rPr>
                <w:color w:val="1B1B1B"/>
                <w:sz w:val="20"/>
                <w:szCs w:val="20"/>
              </w:rPr>
              <w:t>Não — sistêmico</w:t>
            </w:r>
          </w:p>
        </w:tc>
      </w:tr>
      <w:tr w:rsidR="00E50330" w14:paraId="4B1FC4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5ADDF" w14:textId="77777777" w:rsidR="00E50330" w:rsidRDefault="00000000">
            <w:r>
              <w:rPr>
                <w:b/>
                <w:bCs/>
                <w:color w:val="1B1B1B"/>
                <w:sz w:val="20"/>
                <w:szCs w:val="20"/>
              </w:rPr>
              <w:t>Total acumulado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C4171" w14:textId="77777777" w:rsidR="00E50330" w:rsidRDefault="00000000">
            <w:r>
              <w:rPr>
                <w:b/>
                <w:bCs/>
                <w:color w:val="1B1B1B"/>
                <w:sz w:val="20"/>
                <w:szCs w:val="20"/>
              </w:rPr>
              <w:t>3.4:1 (Power)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76897" w14:textId="77777777" w:rsidR="00E50330" w:rsidRDefault="00000000">
            <w:r>
              <w:rPr>
                <w:b/>
                <w:bCs/>
                <w:color w:val="1B1B1B"/>
                <w:sz w:val="20"/>
                <w:szCs w:val="20"/>
              </w:rPr>
              <w:t>Multiplicativo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428D8" w14:textId="77777777" w:rsidR="00E50330" w:rsidRDefault="00000000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</w:tr>
    </w:tbl>
    <w:p w14:paraId="1CD3A05B" w14:textId="77777777" w:rsidR="00E50330" w:rsidRPr="00174B00" w:rsidRDefault="00000000">
      <w:pPr>
        <w:spacing w:after="100" w:line="276" w:lineRule="auto"/>
        <w:jc w:val="both"/>
        <w:rPr>
          <w:lang w:val="pt-BR"/>
        </w:rPr>
      </w:pPr>
      <w:r>
        <w:rPr>
          <w:i/>
          <w:iCs/>
          <w:color w:val="666666"/>
          <w:sz w:val="18"/>
          <w:szCs w:val="18"/>
          <w:lang w:val="pt-BR"/>
        </w:rPr>
        <w:t>Tabela. Decomposição do ratio CACI EUA/UE. Fonte: calibração do autor (2024).</w:t>
      </w:r>
    </w:p>
    <w:p w14:paraId="7DBB831E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Os fatores são multiplicativos, não aditivos.</w:t>
      </w:r>
      <w:r>
        <w:rPr>
          <w:color w:val="333333"/>
          <w:sz w:val="23"/>
          <w:szCs w:val="23"/>
          <w:lang w:val="pt-BR"/>
        </w:rPr>
        <w:t xml:space="preserve"> 1,5 (PIB) × 2–3 (energia) × 1,5–2 (entrega) × 1,5–2 (gravidade) = 3.4 (modo Power, média geométrica ponderada). Mesmo resolvendo um fator, os outros mantêm uma lacuna considerável.</w:t>
      </w:r>
    </w:p>
    <w:p w14:paraId="1DA221B8" w14:textId="77777777" w:rsidR="00E50330" w:rsidRPr="00174B00" w:rsidRDefault="00000000">
      <w:pPr>
        <w:rPr>
          <w:lang w:val="pt-BR"/>
        </w:rPr>
      </w:pPr>
      <w:r>
        <w:rPr>
          <w:lang w:val="pt-BR"/>
        </w:rPr>
        <w:br w:type="page"/>
      </w:r>
    </w:p>
    <w:p w14:paraId="6FF44138" w14:textId="77777777" w:rsidR="00E50330" w:rsidRPr="00174B00" w:rsidRDefault="00000000">
      <w:pPr>
        <w:pStyle w:val="Titre1"/>
        <w:pBdr>
          <w:bottom w:val="single" w:sz="3" w:space="6" w:color="1B4F72"/>
        </w:pBdr>
        <w:rPr>
          <w:lang w:val="pt-BR"/>
        </w:rPr>
      </w:pPr>
      <w:r>
        <w:rPr>
          <w:lang w:val="pt-BR"/>
        </w:rPr>
        <w:lastRenderedPageBreak/>
        <w:t>PARTE B — “Mas podemos usar a nuvem americana, não?”</w:t>
      </w:r>
    </w:p>
    <w:p w14:paraId="0876F616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Q4. </w:t>
      </w:r>
      <w:r>
        <w:rPr>
          <w:b/>
          <w:bCs/>
          <w:color w:val="1B4F72"/>
          <w:lang w:val="pt-BR"/>
        </w:rPr>
        <w:t>A Europa já usa massivamente a nuvem dos EUA. O ratio não é um falso problema?</w:t>
      </w:r>
      <w:r>
        <w:rPr>
          <w:i/>
          <w:iCs/>
          <w:color w:val="666666"/>
          <w:sz w:val="20"/>
          <w:szCs w:val="20"/>
          <w:lang w:val="pt-BR"/>
        </w:rPr>
        <w:t xml:space="preserve">  [Decisor / Industrial]</w:t>
      </w:r>
    </w:p>
    <w:p w14:paraId="56CB5D78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Essa é a objeção de 90% dos decisores europeus.</w:t>
      </w:r>
      <w:r>
        <w:rPr>
          <w:color w:val="333333"/>
          <w:sz w:val="23"/>
          <w:szCs w:val="23"/>
          <w:lang w:val="pt-BR"/>
        </w:rPr>
        <w:t xml:space="preserve"> E no curto prazo, eles têm razão. Por que investir em compute soberano quando se pode alugar dos americanos? AWS, Azure e GCP estão disponíveis, performantes e imediatamente acessíveis. 77% dos workloads de IA europeus já rodam neles.</w:t>
      </w:r>
    </w:p>
    <w:p w14:paraId="52CD9644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Mas isso é exatamente a definição de dependência estratégica.</w:t>
      </w:r>
      <w:r>
        <w:rPr>
          <w:color w:val="333333"/>
          <w:sz w:val="23"/>
          <w:szCs w:val="23"/>
          <w:lang w:val="pt-BR"/>
        </w:rPr>
        <w:t xml:space="preserve"> Você aluga a infraestrutura crítica de outra parte, que pode: (1) ler seus dados, (2) cortar seu acesso, (3) cobrar mais caro, e (4) atendê-lo depois dos próprios clientes. Os quatro riscos são documentados e concretos.</w:t>
      </w:r>
    </w:p>
    <w:p w14:paraId="340A8818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Q5. </w:t>
      </w:r>
      <w:r>
        <w:rPr>
          <w:b/>
          <w:bCs/>
          <w:color w:val="1B4F72"/>
          <w:lang w:val="pt-BR"/>
        </w:rPr>
        <w:t>Risco 1: o CLOUD Act. Nossos dados são realmente acessíveis aos americanos?</w:t>
      </w:r>
      <w:r>
        <w:rPr>
          <w:i/>
          <w:iCs/>
          <w:color w:val="666666"/>
          <w:sz w:val="20"/>
          <w:szCs w:val="20"/>
          <w:lang w:val="pt-BR"/>
        </w:rPr>
        <w:t xml:space="preserve">  [Jurista / DPO]</w:t>
      </w:r>
    </w:p>
    <w:p w14:paraId="1313CEF2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Sim.</w:t>
      </w:r>
      <w:r>
        <w:rPr>
          <w:color w:val="333333"/>
          <w:sz w:val="23"/>
          <w:szCs w:val="23"/>
          <w:lang w:val="pt-BR"/>
        </w:rPr>
        <w:t xml:space="preserve"> O Clarifying Lawful Overseas Use of Data Act (CLOUD Act, 2018) autoriza as autoridades americanas a acessar dados armazenados em servidores de empresas americanas, </w:t>
      </w:r>
      <w:r>
        <w:rPr>
          <w:b/>
          <w:bCs/>
          <w:color w:val="333333"/>
          <w:sz w:val="23"/>
          <w:szCs w:val="23"/>
          <w:lang w:val="pt-BR"/>
        </w:rPr>
        <w:t>mesmo que o servidor esteja fisicamente fora do solo dos EUA.</w:t>
      </w:r>
    </w:p>
    <w:p w14:paraId="79F6E5AA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Concretamente: um banco francês que treina seu modelo de credit scoring no Azure (servidor na Irlanda) — o DoJ americano pode legalmente exigir acesso. Um modelo de defesa treinado na AWS — a NSA pode acessá-lo. Um algoritmo de trading proprietário no GCP — a SEC pode solicitá-lo.</w:t>
      </w:r>
    </w:p>
    <w:p w14:paraId="0FD59D1A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Isso não é teoria da conspiração: é o direito americano vigente. O CLOUD Act não faz distinção entre dados americanos e europeus — ele se aplica à empresa (AWS, Microsoft, Google), não ao território.</w:t>
      </w:r>
    </w:p>
    <w:p w14:paraId="10F8A91E" w14:textId="77777777" w:rsidR="00E50330" w:rsidRPr="00174B00" w:rsidRDefault="00000000">
      <w:pPr>
        <w:pBdr>
          <w:left w:val="single" w:sz="6" w:space="8" w:color="D4AC0D"/>
        </w:pBdr>
        <w:shd w:val="clear" w:color="auto" w:fill="FDEDEC"/>
        <w:spacing w:before="100" w:after="200" w:line="276" w:lineRule="auto"/>
        <w:ind w:left="360" w:right="360"/>
        <w:jc w:val="both"/>
        <w:rPr>
          <w:lang w:val="pt-BR"/>
        </w:rPr>
      </w:pPr>
      <w:r>
        <w:rPr>
          <w:color w:val="C0392B"/>
          <w:sz w:val="22"/>
          <w:szCs w:val="22"/>
          <w:lang w:val="pt-BR"/>
        </w:rPr>
        <w:t>Implicação: qualquer modelo de IA treinado por uma empresa europeia em infraestrutura de nuvem americana é potencialmente acessível às autoridades americanas. É um risco de soberania, não um risco teórico.</w:t>
      </w:r>
    </w:p>
    <w:p w14:paraId="2E7C9FFE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Q6. </w:t>
      </w:r>
      <w:r>
        <w:rPr>
          <w:b/>
          <w:bCs/>
          <w:color w:val="1B4F72"/>
          <w:lang w:val="pt-BR"/>
        </w:rPr>
        <w:t>Risco 2: o acesso à nuvem pode realmente ser cortado ou restringido?</w:t>
      </w:r>
      <w:r>
        <w:rPr>
          <w:i/>
          <w:iCs/>
          <w:color w:val="666666"/>
          <w:sz w:val="20"/>
          <w:szCs w:val="20"/>
          <w:lang w:val="pt-BR"/>
        </w:rPr>
        <w:t xml:space="preserve">  [Geopoliticista / Estrategista]</w:t>
      </w:r>
    </w:p>
    <w:p w14:paraId="7E12A0AC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Já aconteceu — e o mecanismo está pronto para ser ampliado.</w:t>
      </w:r>
      <w:r>
        <w:rPr>
          <w:color w:val="333333"/>
          <w:sz w:val="23"/>
          <w:szCs w:val="23"/>
          <w:lang w:val="pt-BR"/>
        </w:rPr>
        <w:t xml:space="preserve"> É o “chokepoint effect” de Farrell &amp; Newman (2019) aplicado à nuvem. Os EUA já:</w:t>
      </w:r>
    </w:p>
    <w:p w14:paraId="2BAAD8AD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• Cortaram o acesso à nuvem para entidades chinesas </w:t>
      </w:r>
      <w:r>
        <w:rPr>
          <w:color w:val="333333"/>
          <w:sz w:val="23"/>
          <w:szCs w:val="23"/>
          <w:lang w:val="pt-BR"/>
        </w:rPr>
        <w:t>(Entity List, BIS). As empresas chinesas listadas não podem mais acessar AWS, Azure ou GCP. Da noite para o dia.</w:t>
      </w:r>
    </w:p>
    <w:p w14:paraId="544737CB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• Restringiram o acesso à nuvem por país </w:t>
      </w:r>
      <w:r>
        <w:rPr>
          <w:color w:val="333333"/>
          <w:sz w:val="23"/>
          <w:szCs w:val="23"/>
          <w:lang w:val="pt-BR"/>
        </w:rPr>
        <w:t>(AI Diffusion Rule, cotas Tier 2). Países classificados como Tier 2 têm limites no volume de compute em nuvem que podem consumir.</w:t>
      </w:r>
    </w:p>
    <w:p w14:paraId="4B344382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lastRenderedPageBreak/>
        <w:t xml:space="preserve">• Previram ampliação das restrições </w:t>
      </w:r>
      <w:r>
        <w:rPr>
          <w:color w:val="333333"/>
          <w:sz w:val="23"/>
          <w:szCs w:val="23"/>
          <w:lang w:val="pt-BR"/>
        </w:rPr>
        <w:t>(Seção 232, Proclamação prevê possível ampliação em julho de 2026).</w:t>
      </w:r>
    </w:p>
    <w:p w14:paraId="2F0EA71F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Hoje, a Europa é Tier 1 — acesso livre. Mas o mecanismo jurídico está pronto. No dia em que um conflito comercial estourar (retaliação AI Act, taxa digital 2.0, desacordo OTAN), basta uma ordem executiva para restringir o acesso europeu à nuvem. O Cenário B do estudo (“vassalização digital”) modela exatamente esse caso.</w:t>
      </w:r>
    </w:p>
    <w:p w14:paraId="602E2262" w14:textId="77777777" w:rsidR="00E50330" w:rsidRPr="00174B00" w:rsidRDefault="00000000">
      <w:pPr>
        <w:pBdr>
          <w:left w:val="single" w:sz="6" w:space="8" w:color="D4AC0D"/>
        </w:pBdr>
        <w:shd w:val="clear" w:color="auto" w:fill="FEF9E7"/>
        <w:spacing w:before="100" w:after="200" w:line="276" w:lineRule="auto"/>
        <w:ind w:left="360" w:right="360"/>
        <w:jc w:val="both"/>
        <w:rPr>
          <w:lang w:val="pt-BR"/>
        </w:rPr>
      </w:pPr>
      <w:r>
        <w:rPr>
          <w:color w:val="1B4F72"/>
          <w:sz w:val="22"/>
          <w:szCs w:val="22"/>
          <w:lang w:val="pt-BR"/>
        </w:rPr>
        <w:t>Lembrete histórico: a Europa comprava gás russo porque era mais barato e simples do que construir alternativas. Até fevereiro de 2022. O compute americano é o gás russo da IA — exceto que a dependência é ainda mais profunda, porque não se estoca compute como se estoca gás.</w:t>
      </w:r>
    </w:p>
    <w:p w14:paraId="64E9E670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Q7. </w:t>
      </w:r>
      <w:r>
        <w:rPr>
          <w:b/>
          <w:bCs/>
          <w:color w:val="1B4F72"/>
          <w:lang w:val="pt-BR"/>
        </w:rPr>
        <w:t>Risco 3: mesmo sem corte, a nuvem dos EUA não custa mais caro para os europeus?</w:t>
      </w:r>
      <w:r>
        <w:rPr>
          <w:i/>
          <w:iCs/>
          <w:color w:val="666666"/>
          <w:sz w:val="20"/>
          <w:szCs w:val="20"/>
          <w:lang w:val="pt-BR"/>
        </w:rPr>
        <w:t xml:space="preserve">  [Industrial / CFO]</w:t>
      </w:r>
    </w:p>
    <w:p w14:paraId="7C3A328C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Sim. Um FLOP custa US$ 0,5/TFlop nos EUA e US$ 1,2–1,8/TFlop na UE</w:t>
      </w:r>
      <w:r>
        <w:rPr>
          <w:color w:val="333333"/>
          <w:sz w:val="23"/>
          <w:szCs w:val="23"/>
          <w:lang w:val="pt-BR"/>
        </w:rPr>
        <w:t xml:space="preserve"> (Tabela 9, Capítulo IV). Esse diferencial de 2,4–3,6× vem de três fatores:</w:t>
      </w:r>
    </w:p>
    <w:p w14:paraId="5FB21939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Latência de rede: </w:t>
      </w:r>
      <w:r>
        <w:rPr>
          <w:color w:val="333333"/>
          <w:sz w:val="23"/>
          <w:szCs w:val="23"/>
          <w:lang w:val="pt-BR"/>
        </w:rPr>
        <w:t>um modelo treinado na Virgínia a partir de Paris sofre atrasos de transferência de dados que reduzem a eficiência do treinamento distribuído. Para aplicações em tempo real (manufatura autônoma, veículos conectados, trading), a latência é proibitiva.</w:t>
      </w:r>
    </w:p>
    <w:p w14:paraId="4E7E7CFE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Taxas de transferência (egress fees): </w:t>
      </w:r>
      <w:r>
        <w:rPr>
          <w:color w:val="333333"/>
          <w:sz w:val="23"/>
          <w:szCs w:val="23"/>
          <w:lang w:val="pt-BR"/>
        </w:rPr>
        <w:t>os hyperscalers cobram pela transferência de dados para fora de suas regiões. Repatriar um modelo treinado nos EUA para a UE custa dinheiro. Essas taxas se acumulam.</w:t>
      </w:r>
    </w:p>
    <w:p w14:paraId="658DFB95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Margens regionais: </w:t>
      </w:r>
      <w:r>
        <w:rPr>
          <w:color w:val="333333"/>
          <w:sz w:val="23"/>
          <w:szCs w:val="23"/>
          <w:lang w:val="pt-BR"/>
        </w:rPr>
        <w:t>AWS, Azure e GCP cobram 15–25% a mais em regiões da UE do que em regiões dos EUA pela mesma GPU-hora. Documentado pela Bruegel.</w:t>
      </w:r>
    </w:p>
    <w:p w14:paraId="12F95EC5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Resultado: startups francesas pagam 2 a 3× mais pela mesma GPU-hora que suas concorrentes do Vale do Silício.</w:t>
      </w:r>
      <w:r>
        <w:rPr>
          <w:color w:val="333333"/>
          <w:sz w:val="23"/>
          <w:szCs w:val="23"/>
          <w:lang w:val="pt-BR"/>
        </w:rPr>
        <w:t xml:space="preserve"> Mesmo usando a nuvem americana, o campo de jogo não é igual.</w:t>
      </w:r>
    </w:p>
    <w:p w14:paraId="03B564AA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Q8. </w:t>
      </w:r>
      <w:r>
        <w:rPr>
          <w:b/>
          <w:bCs/>
          <w:color w:val="1B4F72"/>
          <w:lang w:val="pt-BR"/>
        </w:rPr>
        <w:t>Risco 4: qual o impacto concreto no time-to-market das empresas europeias?</w:t>
      </w:r>
      <w:r>
        <w:rPr>
          <w:i/>
          <w:iCs/>
          <w:color w:val="666666"/>
          <w:sz w:val="20"/>
          <w:szCs w:val="20"/>
          <w:lang w:val="pt-BR"/>
        </w:rPr>
        <w:t xml:space="preserve">  [Industrial / Startup]</w:t>
      </w:r>
    </w:p>
    <w:p w14:paraId="60E390F8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McKinsey documenta uma extensão de 25–40% no time-to-market</w:t>
      </w:r>
      <w:r>
        <w:rPr>
          <w:color w:val="333333"/>
          <w:sz w:val="23"/>
          <w:szCs w:val="23"/>
          <w:lang w:val="pt-BR"/>
        </w:rPr>
        <w:t xml:space="preserve"> para empresas europeias em comparação com concorrentes americanas. Esse atraso vem de três fatores cumulativos:</w:t>
      </w:r>
    </w:p>
    <w:p w14:paraId="153D5150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1) Acesso ao compute mais lento: </w:t>
      </w:r>
      <w:r>
        <w:rPr>
          <w:color w:val="333333"/>
          <w:sz w:val="23"/>
          <w:szCs w:val="23"/>
          <w:lang w:val="pt-BR"/>
        </w:rPr>
        <w:t>filas para GPUs, atrasos de entrega, cotas de capacidade em nuvem nas regiões da UE.</w:t>
      </w:r>
    </w:p>
    <w:p w14:paraId="6C652E05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2) Custo mais elevado: </w:t>
      </w:r>
      <w:r>
        <w:rPr>
          <w:color w:val="333333"/>
          <w:sz w:val="23"/>
          <w:szCs w:val="23"/>
          <w:lang w:val="pt-BR"/>
        </w:rPr>
        <w:t>startups da UE precisam captar mais recursos para o mesmo volume de compute, o que alonga os ciclos de captação e atrasa projetos.</w:t>
      </w:r>
    </w:p>
    <w:p w14:paraId="00A36C5B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3) Conformidade com o AI Act: </w:t>
      </w:r>
      <w:r>
        <w:rPr>
          <w:color w:val="333333"/>
          <w:sz w:val="23"/>
          <w:szCs w:val="23"/>
          <w:lang w:val="pt-BR"/>
        </w:rPr>
        <w:t>3–5% de orçamento adicional em conformidade regulatória (Accenture), que se soma ao sobrecuço do compute.</w:t>
      </w:r>
    </w:p>
    <w:p w14:paraId="1880A053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lastRenderedPageBreak/>
        <w:t>Em IA, 6 meses de atraso = um ciclo de modelo de atraso = morte competitiva para uma startup.</w:t>
      </w:r>
      <w:r>
        <w:rPr>
          <w:color w:val="333333"/>
          <w:sz w:val="23"/>
          <w:szCs w:val="23"/>
          <w:lang w:val="pt-BR"/>
        </w:rPr>
        <w:t xml:space="preserve"> Quando o GPT-5 é lançado em março e seu concorrente americano o integra em abril, você não pode esperar até setembro. O mercado já terá sido tomado.</w:t>
      </w:r>
    </w:p>
    <w:p w14:paraId="19934BA6" w14:textId="77777777" w:rsidR="00E50330" w:rsidRPr="00174B00" w:rsidRDefault="00000000">
      <w:pPr>
        <w:rPr>
          <w:lang w:val="pt-BR"/>
        </w:rPr>
      </w:pPr>
      <w:r>
        <w:rPr>
          <w:lang w:val="pt-BR"/>
        </w:rPr>
        <w:br w:type="page"/>
      </w:r>
    </w:p>
    <w:p w14:paraId="42C9E6D3" w14:textId="77777777" w:rsidR="00E50330" w:rsidRPr="00174B00" w:rsidRDefault="00000000">
      <w:pPr>
        <w:pStyle w:val="Titre1"/>
        <w:pBdr>
          <w:bottom w:val="single" w:sz="3" w:space="6" w:color="1B4F72"/>
        </w:pBdr>
        <w:rPr>
          <w:lang w:val="pt-BR"/>
        </w:rPr>
      </w:pPr>
      <w:r>
        <w:rPr>
          <w:lang w:val="pt-BR"/>
        </w:rPr>
        <w:lastRenderedPageBreak/>
        <w:t>PARTE C — Então, o que fazemos?</w:t>
      </w:r>
    </w:p>
    <w:p w14:paraId="56A901BB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Q9. </w:t>
      </w:r>
      <w:r>
        <w:rPr>
          <w:b/>
          <w:bCs/>
          <w:color w:val="1B4F72"/>
          <w:lang w:val="pt-BR"/>
        </w:rPr>
        <w:t>Se “pagar mais” não é suficiente e a nuvem americana é uma armadilha, qual é a solução?</w:t>
      </w:r>
      <w:r>
        <w:rPr>
          <w:i/>
          <w:iCs/>
          <w:color w:val="666666"/>
          <w:sz w:val="20"/>
          <w:szCs w:val="20"/>
          <w:lang w:val="pt-BR"/>
        </w:rPr>
        <w:t xml:space="preserve">  [Decisor / Político]</w:t>
      </w:r>
    </w:p>
    <w:p w14:paraId="2CB4599F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O objetivo não é a autarquia tecnológica, mas a capacidade de escolha.</w:t>
      </w:r>
      <w:r>
        <w:rPr>
          <w:color w:val="333333"/>
          <w:sz w:val="23"/>
          <w:szCs w:val="23"/>
          <w:lang w:val="pt-BR"/>
        </w:rPr>
        <w:t xml:space="preserve"> Não 0% de nuvem americana, mas 30–40% dos workloads sensíveis em nuvem soberana certificada até 2029. Ter um Plano B para o dia em que o Plano A se fechar.</w:t>
      </w:r>
    </w:p>
    <w:p w14:paraId="1DDEF7D0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As cinco alavancas são detalhadas no Capítulo VII:</w:t>
      </w:r>
    </w:p>
    <w:p w14:paraId="0DD5B23E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1) Special Compute Zones </w:t>
      </w:r>
      <w:r>
        <w:rPr>
          <w:color w:val="333333"/>
          <w:sz w:val="23"/>
          <w:szCs w:val="23"/>
          <w:lang w:val="pt-BR"/>
        </w:rPr>
        <w:t>com energia a US$ 50–60/MWh via PPAs nucleares. É a alavanca nº 1: sem energia competitiva, nada mais funciona.</w:t>
      </w:r>
    </w:p>
    <w:p w14:paraId="5A23B988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2) Integração nuclear-IA: </w:t>
      </w:r>
      <w:r>
        <w:rPr>
          <w:color w:val="333333"/>
          <w:sz w:val="23"/>
          <w:szCs w:val="23"/>
          <w:lang w:val="pt-BR"/>
        </w:rPr>
        <w:t>a França tem 63 GW nucleares, a EDF pode dedicar 2 GW imediatamente. O único mix energético da UE que permite uma trajetória credível. 250 MW até o final de 2026, 6 EPR 2 em construção, SMRs até 2030+.</w:t>
      </w:r>
    </w:p>
    <w:p w14:paraId="27917B69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3) Reservas estratégicas de GPU: </w:t>
      </w:r>
      <w:r>
        <w:rPr>
          <w:color w:val="333333"/>
          <w:sz w:val="23"/>
          <w:szCs w:val="23"/>
          <w:lang w:val="pt-BR"/>
        </w:rPr>
        <w:t>contratos-quadro da UE com Nvidia, AMD, Intel Foundry por 18–36 meses. Garantir volumes antes que as restrições se ampliem.</w:t>
      </w:r>
    </w:p>
    <w:p w14:paraId="13383F4B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4) AI Act como alavanca ofensiva: </w:t>
      </w:r>
      <w:r>
        <w:rPr>
          <w:color w:val="333333"/>
          <w:sz w:val="23"/>
          <w:szCs w:val="23"/>
          <w:lang w:val="pt-BR"/>
        </w:rPr>
        <w:t>condicionar o acesso ao mercado da UE à localização do compute. Reconhecimento mútuo com Japão, Coreia, Singapura. CLOUD Act Shield europeu.</w:t>
      </w:r>
    </w:p>
    <w:p w14:paraId="6FE0D30B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 xml:space="preserve">5) Modelo Mistral (analogia Airbus): </w:t>
      </w:r>
      <w:r>
        <w:rPr>
          <w:color w:val="333333"/>
          <w:sz w:val="23"/>
          <w:szCs w:val="23"/>
          <w:lang w:val="pt-BR"/>
        </w:rPr>
        <w:t>não substituir a OpenAI, mas construir uma alternativa credível. A ASML investiu €1,3 bilhão (11% do capital) — o sinal industrial está lá. A pergunta não é “A Mistral pode vencer a OpenAI?” mas “A Europa pode ficar sem a Mistral?” A resposta é não.</w:t>
      </w:r>
    </w:p>
    <w:p w14:paraId="1F0D530C" w14:textId="77777777" w:rsidR="00E50330" w:rsidRPr="00174B00" w:rsidRDefault="00000000">
      <w:pPr>
        <w:shd w:val="clear" w:color="auto" w:fill="EBF5FB"/>
        <w:spacing w:before="400" w:after="140"/>
        <w:rPr>
          <w:lang w:val="pt-BR"/>
        </w:rPr>
      </w:pPr>
      <w:r>
        <w:rPr>
          <w:b/>
          <w:bCs/>
          <w:color w:val="C0392B"/>
          <w:lang w:val="pt-BR"/>
        </w:rPr>
        <w:t xml:space="preserve">Q10. </w:t>
      </w:r>
      <w:r>
        <w:rPr>
          <w:b/>
          <w:bCs/>
          <w:color w:val="1B4F72"/>
          <w:lang w:val="pt-BR"/>
        </w:rPr>
        <w:t>Em uma frase, por que esse ratio de 3.4:1 (modo Power) é um problema existencial e não apenas um atraso recuperável?</w:t>
      </w:r>
      <w:r>
        <w:rPr>
          <w:i/>
          <w:iCs/>
          <w:color w:val="666666"/>
          <w:sz w:val="20"/>
          <w:szCs w:val="20"/>
          <w:lang w:val="pt-BR"/>
        </w:rPr>
        <w:t xml:space="preserve">  [Público geral]</w:t>
      </w:r>
    </w:p>
    <w:p w14:paraId="5D37A52F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Porque o compute produz efeitos de aglomeração autorreforçantes.</w:t>
      </w:r>
      <w:r>
        <w:rPr>
          <w:color w:val="333333"/>
          <w:sz w:val="23"/>
          <w:szCs w:val="23"/>
          <w:lang w:val="pt-BR"/>
        </w:rPr>
        <w:t xml:space="preserve"> Quanto mais compute você tem, mais talentos vêm, mais investidores vêm, mais compute aumenta. É um círculo virtuoso para os EUA e um círculo vicioso para a UE. Cada ano de inação amplia o ratio em vez de reduzi-lo.</w:t>
      </w:r>
    </w:p>
    <w:p w14:paraId="3AC8F443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b/>
          <w:bCs/>
          <w:color w:val="333333"/>
          <w:sz w:val="23"/>
          <w:szCs w:val="23"/>
          <w:lang w:val="pt-BR"/>
        </w:rPr>
        <w:t>Por isso a janela 2026–2028 é crítica.</w:t>
      </w:r>
      <w:r>
        <w:rPr>
          <w:color w:val="333333"/>
          <w:sz w:val="23"/>
          <w:szCs w:val="23"/>
          <w:lang w:val="pt-BR"/>
        </w:rPr>
        <w:t xml:space="preserve"> Após 2028, as posições estarão consolidadas: as AI Gigafactories dos EUA estarão operacionais, os ecossistemas de nuvem congelados, os talentos instalados. O Cenário D (“Resposta maciça da UE”) ainda é possível hoje. Não será mais em 2030.</w:t>
      </w:r>
    </w:p>
    <w:p w14:paraId="4A4F6F4D" w14:textId="77777777" w:rsidR="00E50330" w:rsidRPr="00174B00" w:rsidRDefault="00000000">
      <w:pPr>
        <w:spacing w:after="180" w:line="276" w:lineRule="auto"/>
        <w:ind w:left="240"/>
        <w:jc w:val="both"/>
        <w:rPr>
          <w:lang w:val="pt-BR"/>
        </w:rPr>
      </w:pPr>
      <w:r>
        <w:rPr>
          <w:color w:val="333333"/>
          <w:sz w:val="23"/>
          <w:szCs w:val="23"/>
          <w:lang w:val="pt-BR"/>
        </w:rPr>
        <w:t>O ratio de 3.4:1 (modo Power) não é um atraso temporário: é uma divergência estrutural que, sem intervenção, se torna irreversível. É a diferença entre “estamos atrasados” e “perdemos a capacidade de alcançar.”</w:t>
      </w:r>
    </w:p>
    <w:p w14:paraId="646DC951" w14:textId="77777777" w:rsidR="00E50330" w:rsidRPr="00174B00" w:rsidRDefault="00000000">
      <w:pPr>
        <w:pBdr>
          <w:left w:val="single" w:sz="6" w:space="8" w:color="D4AC0D"/>
        </w:pBdr>
        <w:shd w:val="clear" w:color="auto" w:fill="FEF9E7"/>
        <w:spacing w:before="100" w:after="200" w:line="276" w:lineRule="auto"/>
        <w:ind w:left="360" w:right="360"/>
        <w:jc w:val="both"/>
        <w:rPr>
          <w:lang w:val="pt-BR"/>
        </w:rPr>
      </w:pPr>
      <w:r>
        <w:rPr>
          <w:b/>
          <w:bCs/>
          <w:color w:val="1B4F72"/>
          <w:sz w:val="22"/>
          <w:szCs w:val="22"/>
          <w:lang w:val="pt-BR"/>
        </w:rPr>
        <w:t>“A questão não é mais se a recomposição da ordem tecnológica mundial acontecerá — ela está em andamento — mas se seremos seus arquitetos ou seus súditos.”</w:t>
      </w:r>
    </w:p>
    <w:p w14:paraId="62D11B4A" w14:textId="77777777" w:rsidR="00E50330" w:rsidRPr="00174B00" w:rsidRDefault="00000000">
      <w:pPr>
        <w:spacing w:after="200" w:line="276" w:lineRule="auto"/>
        <w:jc w:val="right"/>
        <w:rPr>
          <w:lang w:val="en-US"/>
        </w:rPr>
      </w:pPr>
      <w:r>
        <w:rPr>
          <w:i/>
          <w:iCs/>
          <w:color w:val="666666"/>
          <w:sz w:val="20"/>
          <w:szCs w:val="20"/>
          <w:lang w:val="en-US"/>
        </w:rPr>
        <w:lastRenderedPageBreak/>
        <w:t>— Fabrice Pizzi, AI for Americans First, 2026</w:t>
      </w:r>
    </w:p>
    <w:p w14:paraId="0B10D12F" w14:textId="77777777" w:rsidR="00E50330" w:rsidRPr="00174B00" w:rsidRDefault="00000000">
      <w:pPr>
        <w:spacing w:after="200" w:line="276" w:lineRule="auto"/>
        <w:jc w:val="both"/>
        <w:rPr>
          <w:lang w:val="en-US"/>
        </w:rPr>
      </w:pPr>
      <w:r>
        <w:rPr>
          <w:color w:val="1B1B1B"/>
          <w:sz w:val="12"/>
          <w:szCs w:val="12"/>
          <w:lang w:val="en-US"/>
        </w:rPr>
        <w:t xml:space="preserve"> </w:t>
      </w:r>
    </w:p>
    <w:p w14:paraId="1F35AFC0" w14:textId="77777777" w:rsidR="00E50330" w:rsidRPr="00174B00" w:rsidRDefault="00000000">
      <w:pPr>
        <w:pBdr>
          <w:top w:val="single" w:sz="2" w:space="10" w:color="D4AC0D"/>
        </w:pBdr>
        <w:spacing w:before="300"/>
        <w:jc w:val="center"/>
        <w:rPr>
          <w:lang w:val="pt-BR"/>
        </w:rPr>
      </w:pPr>
      <w:r>
        <w:rPr>
          <w:b/>
          <w:bCs/>
          <w:color w:val="666666"/>
          <w:sz w:val="22"/>
          <w:szCs w:val="22"/>
          <w:lang w:val="pt-BR"/>
        </w:rPr>
        <w:t>— FIM DO VOLUME 3 —</w:t>
      </w:r>
    </w:p>
    <w:p w14:paraId="69A40AA6" w14:textId="77777777" w:rsidR="00E50330" w:rsidRPr="00174B00" w:rsidRDefault="00000000">
      <w:pPr>
        <w:spacing w:before="100" w:after="200" w:line="276" w:lineRule="auto"/>
        <w:jc w:val="both"/>
        <w:rPr>
          <w:lang w:val="pt-BR"/>
        </w:rPr>
      </w:pPr>
      <w:r>
        <w:rPr>
          <w:i/>
          <w:iCs/>
          <w:color w:val="666666"/>
          <w:sz w:val="20"/>
          <w:szCs w:val="20"/>
          <w:lang w:val="pt-BR"/>
        </w:rPr>
        <w:t>Este documento pode ser lido independentemente do Volume 1 (tese, CACI, metodologia, cenários, limitações) e do Volume 2 (25 perguntas técnicas, geopolíticas e operacionais).</w:t>
      </w:r>
    </w:p>
    <w:p w14:paraId="55398175" w14:textId="77777777" w:rsidR="00E50330" w:rsidRPr="00174B00" w:rsidRDefault="00000000">
      <w:pPr>
        <w:spacing w:after="200" w:line="276" w:lineRule="auto"/>
        <w:jc w:val="both"/>
        <w:rPr>
          <w:lang w:val="pt-BR"/>
        </w:rPr>
      </w:pPr>
      <w:r>
        <w:rPr>
          <w:b/>
          <w:bCs/>
          <w:color w:val="666666"/>
          <w:sz w:val="20"/>
          <w:szCs w:val="20"/>
          <w:lang w:val="pt-BR"/>
        </w:rPr>
        <w:t xml:space="preserve">Repositório: </w:t>
      </w:r>
      <w:r>
        <w:rPr>
          <w:color w:val="2E86C1"/>
          <w:sz w:val="20"/>
          <w:szCs w:val="20"/>
          <w:lang w:val="pt-BR"/>
        </w:rPr>
        <w:t>https://mo0ogly.github.io/America-First-IA/</w:t>
      </w:r>
    </w:p>
    <w:sectPr w:rsidR="00E50330" w:rsidRPr="00174B00"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B115E" w14:textId="77777777" w:rsidR="00BD74D0" w:rsidRDefault="00BD74D0">
      <w:r>
        <w:separator/>
      </w:r>
    </w:p>
  </w:endnote>
  <w:endnote w:type="continuationSeparator" w:id="0">
    <w:p w14:paraId="5416249F" w14:textId="77777777" w:rsidR="00BD74D0" w:rsidRDefault="00BD7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5F9D9" w14:textId="77777777" w:rsidR="00174B00" w:rsidRPr="002A7CA6" w:rsidRDefault="00174B00" w:rsidP="002A7CA6">
    <w:pPr>
      <w:pBdr>
        <w:top w:val="single" w:sz="2" w:space="4" w:color="CCCCCC"/>
      </w:pBdr>
      <w:jc w:val="center"/>
      <w:rPr>
        <w:lang w:val="en-US"/>
      </w:rPr>
    </w:pPr>
    <w:r w:rsidRPr="002A7CA6">
      <w:rPr>
        <w:color w:val="555555"/>
        <w:sz w:val="16"/>
        <w:szCs w:val="16"/>
        <w:lang w:val="en-US"/>
      </w:rPr>
      <w:t xml:space="preserve">AI for Americans First — Fabrice Pizzi — Page </w:t>
    </w:r>
    <w:r>
      <w:rPr>
        <w:color w:val="555555"/>
        <w:sz w:val="18"/>
        <w:szCs w:val="18"/>
      </w:rPr>
      <w:fldChar w:fldCharType="begin"/>
    </w:r>
    <w:r w:rsidRPr="002A7CA6">
      <w:rPr>
        <w:color w:val="555555"/>
        <w:sz w:val="18"/>
        <w:szCs w:val="18"/>
        <w:lang w:val="en-US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 w:rsidRPr="002A7CA6">
      <w:rPr>
        <w:color w:val="555555"/>
        <w:sz w:val="18"/>
        <w:szCs w:val="18"/>
        <w:lang w:val="en-US"/>
      </w:rPr>
      <w:t>14</w:t>
    </w:r>
    <w:r>
      <w:rPr>
        <w:color w:val="55555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C5A12" w14:textId="77777777" w:rsidR="00E50330" w:rsidRDefault="00000000">
    <w:pPr>
      <w:jc w:val="center"/>
    </w:pPr>
    <w:r w:rsidRPr="00174B00">
      <w:rPr>
        <w:color w:val="666666"/>
        <w:sz w:val="18"/>
        <w:szCs w:val="18"/>
        <w:lang w:val="en-US"/>
      </w:rPr>
      <w:t xml:space="preserve">AI for Americans First — FAQ Volume 3 (PT-BR) — p. </w:t>
    </w:r>
    <w:r>
      <w:rPr>
        <w:color w:val="666666"/>
        <w:sz w:val="18"/>
        <w:szCs w:val="18"/>
      </w:rPr>
      <w:fldChar w:fldCharType="begin"/>
    </w:r>
    <w:r w:rsidRPr="00174B00">
      <w:rPr>
        <w:color w:val="666666"/>
        <w:sz w:val="18"/>
        <w:szCs w:val="18"/>
        <w:lang w:val="en-US"/>
      </w:rPr>
      <w:instrText>PAGE</w:instrText>
    </w:r>
    <w:r>
      <w:rPr>
        <w:color w:val="666666"/>
        <w:sz w:val="18"/>
        <w:szCs w:val="18"/>
      </w:rPr>
      <w:fldChar w:fldCharType="separate"/>
    </w:r>
    <w:r w:rsidR="00174B0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301B8" w14:textId="77777777" w:rsidR="00BD74D0" w:rsidRDefault="00BD74D0">
      <w:r>
        <w:separator/>
      </w:r>
    </w:p>
  </w:footnote>
  <w:footnote w:type="continuationSeparator" w:id="0">
    <w:p w14:paraId="1D1E9C26" w14:textId="77777777" w:rsidR="00BD74D0" w:rsidRDefault="00BD7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347F7"/>
    <w:multiLevelType w:val="hybridMultilevel"/>
    <w:tmpl w:val="096E032C"/>
    <w:lvl w:ilvl="0" w:tplc="ECF630BC">
      <w:start w:val="1"/>
      <w:numFmt w:val="bullet"/>
      <w:lvlText w:val="●"/>
      <w:lvlJc w:val="left"/>
      <w:pPr>
        <w:ind w:left="720" w:hanging="360"/>
      </w:pPr>
    </w:lvl>
    <w:lvl w:ilvl="1" w:tplc="1542D8C6">
      <w:start w:val="1"/>
      <w:numFmt w:val="bullet"/>
      <w:lvlText w:val="○"/>
      <w:lvlJc w:val="left"/>
      <w:pPr>
        <w:ind w:left="1440" w:hanging="360"/>
      </w:pPr>
    </w:lvl>
    <w:lvl w:ilvl="2" w:tplc="D6D43966">
      <w:start w:val="1"/>
      <w:numFmt w:val="bullet"/>
      <w:lvlText w:val="■"/>
      <w:lvlJc w:val="left"/>
      <w:pPr>
        <w:ind w:left="2160" w:hanging="360"/>
      </w:pPr>
    </w:lvl>
    <w:lvl w:ilvl="3" w:tplc="8E8AB2C2">
      <w:start w:val="1"/>
      <w:numFmt w:val="bullet"/>
      <w:lvlText w:val="●"/>
      <w:lvlJc w:val="left"/>
      <w:pPr>
        <w:ind w:left="2880" w:hanging="360"/>
      </w:pPr>
    </w:lvl>
    <w:lvl w:ilvl="4" w:tplc="301047A4">
      <w:start w:val="1"/>
      <w:numFmt w:val="bullet"/>
      <w:lvlText w:val="○"/>
      <w:lvlJc w:val="left"/>
      <w:pPr>
        <w:ind w:left="3600" w:hanging="360"/>
      </w:pPr>
    </w:lvl>
    <w:lvl w:ilvl="5" w:tplc="DC7C34D4">
      <w:start w:val="1"/>
      <w:numFmt w:val="bullet"/>
      <w:lvlText w:val="■"/>
      <w:lvlJc w:val="left"/>
      <w:pPr>
        <w:ind w:left="4320" w:hanging="360"/>
      </w:pPr>
    </w:lvl>
    <w:lvl w:ilvl="6" w:tplc="384E964E">
      <w:start w:val="1"/>
      <w:numFmt w:val="bullet"/>
      <w:lvlText w:val="●"/>
      <w:lvlJc w:val="left"/>
      <w:pPr>
        <w:ind w:left="5040" w:hanging="360"/>
      </w:pPr>
    </w:lvl>
    <w:lvl w:ilvl="7" w:tplc="BE78A668">
      <w:start w:val="1"/>
      <w:numFmt w:val="bullet"/>
      <w:lvlText w:val="●"/>
      <w:lvlJc w:val="left"/>
      <w:pPr>
        <w:ind w:left="5760" w:hanging="360"/>
      </w:pPr>
    </w:lvl>
    <w:lvl w:ilvl="8" w:tplc="66C62416">
      <w:start w:val="1"/>
      <w:numFmt w:val="bullet"/>
      <w:lvlText w:val="●"/>
      <w:lvlJc w:val="left"/>
      <w:pPr>
        <w:ind w:left="6480" w:hanging="360"/>
      </w:pPr>
    </w:lvl>
  </w:abstractNum>
  <w:num w:numId="1" w16cid:durableId="184290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0"/>
    <w:rsid w:val="00080432"/>
    <w:rsid w:val="00174B00"/>
    <w:rsid w:val="00BD74D0"/>
    <w:rsid w:val="00E5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259C2"/>
  <w15:docId w15:val="{EC6CEE58-3D74-43F0-A18D-1E02BFF4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B4F72"/>
      <w:sz w:val="30"/>
      <w:szCs w:val="30"/>
    </w:rPr>
  </w:style>
  <w:style w:type="paragraph" w:styleId="Titre2">
    <w:name w:val="heading 2"/>
    <w:uiPriority w:val="9"/>
    <w:unhideWhenUsed/>
    <w:qFormat/>
    <w:pPr>
      <w:spacing w:before="300" w:after="200"/>
      <w:outlineLvl w:val="1"/>
    </w:pPr>
    <w:rPr>
      <w:b/>
      <w:bCs/>
      <w:color w:val="1B4F72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2077</Words>
  <Characters>11428</Characters>
  <Application>Microsoft Office Word</Application>
  <DocSecurity>0</DocSecurity>
  <Lines>95</Lines>
  <Paragraphs>26</Paragraphs>
  <ScaleCrop>false</ScaleCrop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fabrice pizzi</cp:lastModifiedBy>
  <cp:revision>2</cp:revision>
  <dcterms:created xsi:type="dcterms:W3CDTF">2026-02-24T20:16:00Z</dcterms:created>
  <dcterms:modified xsi:type="dcterms:W3CDTF">2026-02-26T10:06:00Z</dcterms:modified>
</cp:coreProperties>
</file>