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568EC6" w14:textId="77777777" w:rsidR="00A24501" w:rsidRDefault="00263596">
      <w:pPr>
        <w:spacing w:after="80"/>
        <w:jc w:val="center"/>
      </w:pPr>
      <w:r>
        <w:rPr>
          <w:b/>
          <w:bCs/>
          <w:color w:val="1A1A1A"/>
          <w:sz w:val="32"/>
          <w:szCs w:val="32"/>
        </w:rPr>
        <w:t>A IA como Amplificadora de Método</w:t>
      </w:r>
    </w:p>
    <w:p w14:paraId="22B02A3B" w14:textId="77777777" w:rsidR="00A24501" w:rsidRDefault="00263596">
      <w:pPr>
        <w:spacing w:after="200"/>
        <w:jc w:val="center"/>
      </w:pPr>
      <w:r>
        <w:rPr>
          <w:i/>
          <w:iCs/>
          <w:color w:val="333333"/>
          <w:sz w:val="24"/>
          <w:szCs w:val="24"/>
        </w:rPr>
        <w:t>Por que a competência rara na economia da IA será o enquadramento, não a produção</w:t>
      </w:r>
    </w:p>
    <w:p w14:paraId="5B50ED47" w14:textId="77777777" w:rsidR="00A24501" w:rsidRDefault="00263596">
      <w:pPr>
        <w:spacing w:after="40"/>
        <w:jc w:val="center"/>
      </w:pPr>
      <w:r>
        <w:rPr>
          <w:b/>
          <w:bCs/>
          <w:sz w:val="24"/>
          <w:szCs w:val="24"/>
        </w:rPr>
        <w:t>Fabrice Pizzi</w:t>
      </w:r>
    </w:p>
    <w:p w14:paraId="4AABA073" w14:textId="77777777" w:rsidR="00A24501" w:rsidRDefault="00263596">
      <w:pPr>
        <w:spacing w:after="40"/>
        <w:jc w:val="center"/>
      </w:pPr>
      <w:r>
        <w:rPr>
          <w:color w:val="333333"/>
          <w:sz w:val="20"/>
          <w:szCs w:val="20"/>
        </w:rPr>
        <w:t>Universidade Paris Sorbonne — Inteligência Econômica e Cibersegurança</w:t>
      </w:r>
    </w:p>
    <w:p w14:paraId="35372595" w14:textId="77777777" w:rsidR="00A24501" w:rsidRDefault="00263596">
      <w:pPr>
        <w:spacing w:after="40"/>
        <w:jc w:val="center"/>
      </w:pPr>
      <w:r>
        <w:rPr>
          <w:color w:val="333333"/>
          <w:sz w:val="20"/>
          <w:szCs w:val="20"/>
        </w:rPr>
        <w:t>CISSP | Criador da LIA-Scan | Pesquisador em Segurança de Agentes IA Autônomos</w:t>
      </w:r>
    </w:p>
    <w:p w14:paraId="1FA99BC0" w14:textId="77777777" w:rsidR="00A24501" w:rsidRDefault="00263596">
      <w:pPr>
        <w:spacing w:after="300"/>
        <w:jc w:val="center"/>
      </w:pPr>
      <w:r>
        <w:rPr>
          <w:i/>
          <w:iCs/>
          <w:color w:val="666666"/>
          <w:sz w:val="20"/>
          <w:szCs w:val="20"/>
        </w:rPr>
        <w:t>Março de 2026</w:t>
      </w:r>
    </w:p>
    <w:p w14:paraId="48C8C754" w14:textId="77777777" w:rsidR="00A24501" w:rsidRDefault="00A24501">
      <w:pPr>
        <w:pBdr>
          <w:bottom w:val="single" w:sz="4" w:space="1" w:color="999999"/>
        </w:pBdr>
        <w:spacing w:after="200"/>
      </w:pPr>
    </w:p>
    <w:p w14:paraId="5993AC4B" w14:textId="77777777" w:rsidR="00A24501" w:rsidRDefault="00263596">
      <w:pPr>
        <w:spacing w:before="100" w:after="80"/>
      </w:pPr>
      <w:r>
        <w:rPr>
          <w:b/>
          <w:bCs/>
        </w:rPr>
        <w:t>Resumo</w:t>
      </w:r>
    </w:p>
    <w:p w14:paraId="11459DBA" w14:textId="77777777" w:rsidR="00A24501" w:rsidRDefault="00263596">
      <w:pPr>
        <w:spacing w:after="160" w:line="280" w:lineRule="auto"/>
        <w:ind w:left="567" w:right="567"/>
        <w:jc w:val="both"/>
      </w:pPr>
      <w:r>
        <w:rPr>
          <w:i/>
          <w:iCs/>
          <w:color w:val="333333"/>
          <w:sz w:val="20"/>
          <w:szCs w:val="20"/>
        </w:rPr>
        <w:t>A democratização das ferramentas de IA generativa desde 2023 produziu um paradoxo: ferramentas mais poderosas industrializaram, numa primeira fase, uma nova categoria de mediocridade profissional. Esta nota de pesquisa analisa as causas desse fenômeno (ausência de metodologia estruturada de pilotagem, déficit de controle de qualidade, confusão entre produção e validação) e propõe um quadro analítico fundamentado no conceito de engenharia comportamental do modelo. Apoiando-se num caso concreto (LIA-Scan, plataforma de auditoria de cibersegurança, 160+ frameworks) e no modelo de cinco camadas de Jensen Huang (energia, chips, infraestrutura, modelos, aplicações), a nota demonstra que a competência rara na economia da IA não será a capacidade de produzir, mas a capacidade de enquadrar, verificar, orquestrar e arbitrar as saídas dos modelos em cadência industrial. O conceito de economia de densidade cognitiva é introduzido para designar esse novo regime de trabalho.</w:t>
      </w:r>
    </w:p>
    <w:p w14:paraId="36C0B24D" w14:textId="77777777" w:rsidR="00A24501" w:rsidRDefault="00263596">
      <w:pPr>
        <w:spacing w:after="200" w:line="280" w:lineRule="auto"/>
        <w:ind w:left="567" w:right="567"/>
      </w:pPr>
      <w:r>
        <w:rPr>
          <w:b/>
          <w:bCs/>
          <w:sz w:val="20"/>
          <w:szCs w:val="20"/>
        </w:rPr>
        <w:t xml:space="preserve">Palavras-chave: </w:t>
      </w:r>
      <w:r>
        <w:rPr>
          <w:sz w:val="20"/>
          <w:szCs w:val="20"/>
        </w:rPr>
        <w:t>engenharia comportamental, IA generativa, enquadramento, densidade cognitiva, pipeline agêntico, auditoria de cibersegurança, LIA-Scan, método, CACI</w:t>
      </w:r>
    </w:p>
    <w:p w14:paraId="198503A0" w14:textId="77777777" w:rsidR="00A24501" w:rsidRDefault="00A24501">
      <w:pPr>
        <w:pBdr>
          <w:bottom w:val="single" w:sz="4" w:space="1" w:color="999999"/>
        </w:pBdr>
        <w:spacing w:after="200"/>
      </w:pPr>
    </w:p>
    <w:p w14:paraId="1EE8C7D3" w14:textId="77777777" w:rsidR="00A24501" w:rsidRDefault="00263596">
      <w:pPr>
        <w:pStyle w:val="Titre1"/>
      </w:pPr>
      <w:r>
        <w:t>1. O paradoxo da primeira fase: poder da ferramenta, pobreza do método</w:t>
      </w:r>
    </w:p>
    <w:p w14:paraId="6346B40E" w14:textId="77777777" w:rsidR="00A24501" w:rsidRDefault="00263596">
      <w:pPr>
        <w:spacing w:after="160"/>
        <w:jc w:val="both"/>
      </w:pPr>
      <w:r>
        <w:t>Desde 2023, a democratização rápida dos LLMs e das ferramentas de IA generativa colocou capacidades de produção consideráveis nas mãos de profissionais que não dispunham de nenhuma metodologia estruturada para pilotá-las. O resultado, amplamente documentado na literatura e nos retornos industriais, é previsível: análises superficiais, código frágil, sínteses plausíveis mas vazias, entregáveis que passam nas revisões iniciais mas falham em produção.</w:t>
      </w:r>
    </w:p>
    <w:p w14:paraId="2A766517" w14:textId="77777777" w:rsidR="00A24501" w:rsidRDefault="00263596">
      <w:pPr>
        <w:spacing w:after="160"/>
        <w:jc w:val="both"/>
      </w:pPr>
      <w:r>
        <w:t>Esse fenômeno foi massivamente atribuído às "alucinações" dos modelos. Porém, uma análise mais rigorosa mostra que grande parte do problema reside no operador humano: ausência de enquadramento do problema a montante, ausência de verificação das saídas, ausência de comparação entre fontes, ausência de questionamento crítico. A máquina amplificou um método de trabalho ruim. Não o criou.</w:t>
      </w:r>
    </w:p>
    <w:p w14:paraId="1B10DB54" w14:textId="77777777" w:rsidR="00A24501" w:rsidRDefault="00263596">
      <w:pPr>
        <w:spacing w:after="160"/>
        <w:jc w:val="both"/>
      </w:pPr>
      <w:r>
        <w:t>Essa fase vai terminar, não porque os modelos serão perfeitos, mas porque as organizações vão aprender, frequentemente a custo elevado, o que representa um entregável de IA não controlado implantado em ambiente de produção, particularmente em contextos de alta exigência: segurança, finanças, saúde, direito, decisão estratégica.</w:t>
      </w:r>
    </w:p>
    <w:p w14:paraId="70BAF34A" w14:textId="77777777" w:rsidR="00A24501" w:rsidRDefault="00263596">
      <w:pPr>
        <w:pStyle w:val="Titre1"/>
      </w:pPr>
      <w:r>
        <w:t>2. O modelo de cinco camadas e a cadeia de dependências</w:t>
      </w:r>
    </w:p>
    <w:p w14:paraId="4F144C8D" w14:textId="77777777" w:rsidR="00A24501" w:rsidRDefault="00263596">
      <w:pPr>
        <w:spacing w:after="160"/>
        <w:jc w:val="both"/>
      </w:pPr>
      <w:r>
        <w:lastRenderedPageBreak/>
        <w:t>Jensen Huang propôs, no GTC de San José (março de 2026), um modelo de cinco camadas para descrever a infraestrutura de IA: energia, chips, infraestrutura física, modelos e aplicações. [1] Esse modelo expressa uma realidade frequentemente ignorada no debate sobre IA: por trás de cada saída de IA existe uma cadeia de dependências industriais completa. Essa cadeia custa, constrange e cria assimetrias massivas entre quem a controla e quem dela depende.</w:t>
      </w:r>
    </w:p>
    <w:p w14:paraId="58C9A200" w14:textId="77777777" w:rsidR="00A24501" w:rsidRDefault="00263596">
      <w:pPr>
        <w:spacing w:after="160"/>
        <w:jc w:val="both"/>
      </w:pPr>
      <w:r>
        <w:t xml:space="preserve">O CACI (Competitive Advantage of Compute Index), construído no âmbito da pesquisa </w:t>
      </w:r>
      <w:r>
        <w:rPr>
          <w:i/>
          <w:iCs/>
        </w:rPr>
        <w:t>AI for Americans First</w:t>
      </w:r>
      <w:r>
        <w:t xml:space="preserve"> (Pizzi, Sorbonne, 2026), quantifica essa assimetria integrando quatro dimensões: energia, semicondutores, compute e regulação. A razão EUA/UE situa-se em 3.4:1 (modo Power). [2]</w:t>
      </w:r>
    </w:p>
    <w:p w14:paraId="4A58BF9A" w14:textId="77777777" w:rsidR="00A24501" w:rsidRDefault="00263596">
      <w:pPr>
        <w:spacing w:after="160"/>
        <w:jc w:val="both"/>
      </w:pPr>
      <w:r>
        <w:t>Essa razão tem uma consequência direta no mundo do trabalho: os profissionais que operam em ecossistemas estruturalmente subdotados em compute deverão compensar por um domínio operacional superior. O recurso raro não será o acesso à ferramenta. Será a capacidade de extrair dela um resultado confiável apesar das restrições.</w:t>
      </w:r>
    </w:p>
    <w:p w14:paraId="49BB5C79" w14:textId="77777777" w:rsidR="00A24501" w:rsidRDefault="00263596">
      <w:pPr>
        <w:pStyle w:val="Titre1"/>
      </w:pPr>
      <w:r>
        <w:t>3. Redistribuição de competências: método sobre antiguidade</w:t>
      </w:r>
    </w:p>
    <w:p w14:paraId="33D76C85" w14:textId="77777777" w:rsidR="00A24501" w:rsidRDefault="00263596">
      <w:pPr>
        <w:spacing w:after="160"/>
        <w:jc w:val="both"/>
      </w:pPr>
      <w:r>
        <w:t>A IA redistribui as vantagens competitivas de maneira contraintuitiva. A antiguidade bruta, definida como experiência acumulada sem uma estrutura de raciocínio explícita, perde valor relativo. Um profissional experiente que pilota a IA de forma aproximada será superado por um perfil júnior dotado de uma estrutura de reflexão rigorosa: capaz de decompor um problema, orquestrar várias ferramentas em paralelo, comparar suas saídas, identificar ângulos mortos e validar antes de entregar.</w:t>
      </w:r>
    </w:p>
    <w:p w14:paraId="6A6AE6A2" w14:textId="77777777" w:rsidR="00A24501" w:rsidRDefault="00263596">
      <w:pPr>
        <w:spacing w:after="160"/>
        <w:jc w:val="both"/>
      </w:pPr>
      <w:r>
        <w:t>Essa observação se alinha a um princípio pedagógico mais amplo: uma mente bem construída e rigorosa será sempre superior a uma mente cheia de informações e experiência mas que não dispõe desse esquema de funcionamento. A IA não muda essa verdade. Ela a acelera e a torna mais visível do que jamais foi. A vantagem não está ligada à idade nem ao título. Está ligada ao método.</w:t>
      </w:r>
    </w:p>
    <w:p w14:paraId="221EB729" w14:textId="77777777" w:rsidR="00A24501" w:rsidRDefault="00263596">
      <w:pPr>
        <w:pStyle w:val="Titre1"/>
      </w:pPr>
      <w:r>
        <w:t>4. Engenharia comportamental do modelo: ilustração pela LIA-Scan</w:t>
      </w:r>
    </w:p>
    <w:p w14:paraId="0F655F5D" w14:textId="77777777" w:rsidR="00A24501" w:rsidRDefault="00263596">
      <w:pPr>
        <w:spacing w:after="160"/>
        <w:jc w:val="both"/>
      </w:pPr>
      <w:r>
        <w:t>A LIA-Scan é uma plataforma de auditoria de configuração de cibersegurança cobrindo mais de 200 tecnologias e 160+ frameworks (GRC, SGSI). Para automatizar a geração de regras de detecção CVE, foi concebido um pipeline agêntico noturno via n8n. [3]</w:t>
      </w:r>
    </w:p>
    <w:p w14:paraId="3F08207E" w14:textId="77777777" w:rsidR="00A24501" w:rsidRDefault="00263596">
      <w:pPr>
        <w:spacing w:after="160"/>
        <w:jc w:val="both"/>
      </w:pPr>
      <w:r>
        <w:t>O agente não produz uma regra YAML como saída direta. Ele percorre um loop estruturado obrigatório: decomposição do problema, planejamento da abordagem, ação de geração, observação do resultado, avaliação com scoring explícito. Esse scoring funciona como um sinal de controle de fluxo: abaixo de um determinado limiar, o agente retorna ao loop, replaneja e muda de abordagem integrando uma fase de retorno de experiência. Acima do limiar, a regra é commitada. O registro de cada ação é append-only e auditável.</w:t>
      </w:r>
    </w:p>
    <w:p w14:paraId="35D353F9" w14:textId="77777777" w:rsidR="00A24501" w:rsidRDefault="00263596">
      <w:pPr>
        <w:spacing w:after="160"/>
        <w:jc w:val="both"/>
      </w:pPr>
      <w:r>
        <w:t>Sem esse mecanismo, a taxa de regras inutilizáveis em produção era inaceitável. Com ele, o pipeline produz regras testáveis, rastreáveis, implantáveis em ambientes bancários (DORA, NIS2/ReCyF). Quando uma regra falha, o erro é localizável no registro na etapa precisa onde o raciocínio desviou.</w:t>
      </w:r>
    </w:p>
    <w:p w14:paraId="074934E7" w14:textId="77777777" w:rsidR="00A24501" w:rsidRDefault="00263596">
      <w:pPr>
        <w:spacing w:after="160"/>
        <w:jc w:val="both"/>
      </w:pPr>
      <w:r>
        <w:lastRenderedPageBreak/>
        <w:t>Isso não é uso de IA. É engenharia comportamental do modelo: a concepção de restrições estruturais que forçam o modelo a produzir de maneira controlada, avaliável e rastreável. É precisamente essa competência que a economia da IA vai tornar rara e valorizada.</w:t>
      </w:r>
    </w:p>
    <w:p w14:paraId="1E7F334C" w14:textId="77777777" w:rsidR="00A24501" w:rsidRDefault="00263596">
      <w:pPr>
        <w:pStyle w:val="Titre1"/>
      </w:pPr>
      <w:r>
        <w:t>5. Economia de densidade cognitiva: definição e alcance</w:t>
      </w:r>
    </w:p>
    <w:p w14:paraId="10DFB8FD" w14:textId="77777777" w:rsidR="00A24501" w:rsidRDefault="00263596">
      <w:pPr>
        <w:spacing w:after="160"/>
        <w:jc w:val="both"/>
      </w:pPr>
      <w:r>
        <w:t>O trabalho não desaparece com a IA. Ele se desloca: do fazer para o enquadrar, verificar, orquestrar e arbitrar. As organizações que se acostumam a entregáveis de IA de qualidade elevam permanentemente o nível esperado. O volume adicional produzido pela IA não será sinônimo de conforto: será sinônimo de exigência crescente contínua.</w:t>
      </w:r>
    </w:p>
    <w:p w14:paraId="71C8753C" w14:textId="77777777" w:rsidR="00A24501" w:rsidRDefault="00263596">
      <w:pPr>
        <w:spacing w:after="160"/>
        <w:jc w:val="both"/>
      </w:pPr>
      <w:r>
        <w:t>O conceito de economia de densidade cognitiva designa esse novo regime: uma economia onde a competência rara não é a capacidade de produzir, mas a capacidade de produzir certo, de forma coerente, em cadência industrial, com rastreabilidade completa. O poder da ferramenta amplifica os erros de enquadramento tanto quanto amplifica as boas decisões.</w:t>
      </w:r>
    </w:p>
    <w:p w14:paraId="324668E6" w14:textId="77777777" w:rsidR="00A24501" w:rsidRDefault="00263596">
      <w:pPr>
        <w:spacing w:after="160"/>
        <w:jc w:val="both"/>
      </w:pPr>
      <w:r>
        <w:t>Esse conceito admite uma dupla leitura. No nível individual e organizacional, descreve a intensificação do trabalho cognitivo. No nível geoestratégico (desenvolvido numa nota complementar [4]), designa um novo regime de poder onde a riqueza de um país se mede pela capacidade de transformar compute em resultado confiável, verificável e soberano.</w:t>
      </w:r>
    </w:p>
    <w:p w14:paraId="5232FAD2" w14:textId="77777777" w:rsidR="00A24501" w:rsidRDefault="00263596">
      <w:pPr>
        <w:pStyle w:val="Titre1"/>
      </w:pPr>
      <w:r>
        <w:t>6. Conclusão</w:t>
      </w:r>
    </w:p>
    <w:p w14:paraId="08CD3E22" w14:textId="77777777" w:rsidR="00A24501" w:rsidRDefault="00263596">
      <w:pPr>
        <w:spacing w:after="160"/>
        <w:jc w:val="both"/>
      </w:pPr>
      <w:r>
        <w:t>A primeira fase de implantação da IA generativa em empresas (2023-2026) evidenciou um déficit estrutural de método, mascarado pelo poder das ferramentas. A fase seguinte será caracterizada por uma elevação da exigência em todos os contextos de alto valor, onde entregáveis não controlados não serão mais tolerados.</w:t>
      </w:r>
    </w:p>
    <w:p w14:paraId="44D54AC9" w14:textId="77777777" w:rsidR="00A24501" w:rsidRDefault="00263596">
      <w:pPr>
        <w:spacing w:after="160"/>
        <w:jc w:val="both"/>
      </w:pPr>
      <w:r>
        <w:t>A competência diferenciadora não será o acesso à IA nem a capacidade de produzir volume, mas o domínio do enquadramento, da verificação e da orquestração das saídas dos modelos. A engenharia comportamental do modelo, ilustrada aqui pelo caso LIA-Scan, constitui uma primeira formalização dessa disciplina.</w:t>
      </w:r>
    </w:p>
    <w:p w14:paraId="45A2CFD8" w14:textId="77777777" w:rsidR="00A24501" w:rsidRDefault="00263596">
      <w:pPr>
        <w:spacing w:after="160"/>
        <w:jc w:val="both"/>
      </w:pPr>
      <w:r>
        <w:t>Não estamos entrando numa economia da preguiça assistida. Estamos entrando numa economia de densidade cognitiva, e o nível de exigência vai continuar a subir tão rápido quanto os modelos avançam.</w:t>
      </w:r>
    </w:p>
    <w:p w14:paraId="120C6E9C" w14:textId="77777777" w:rsidR="00A24501" w:rsidRDefault="00A24501">
      <w:pPr>
        <w:pBdr>
          <w:bottom w:val="single" w:sz="2" w:space="1" w:color="999999"/>
        </w:pBdr>
        <w:spacing w:before="400"/>
      </w:pPr>
    </w:p>
    <w:p w14:paraId="01FC01AF" w14:textId="77777777" w:rsidR="00A24501" w:rsidRDefault="00263596">
      <w:pPr>
        <w:spacing w:before="200" w:after="120"/>
      </w:pPr>
      <w:r>
        <w:rPr>
          <w:b/>
          <w:bCs/>
        </w:rPr>
        <w:t>Notas</w:t>
      </w:r>
    </w:p>
    <w:p w14:paraId="3BD95417" w14:textId="77777777" w:rsidR="00A24501" w:rsidRDefault="00263596">
      <w:pPr>
        <w:spacing w:after="60" w:line="260" w:lineRule="auto"/>
      </w:pPr>
      <w:r>
        <w:rPr>
          <w:color w:val="666666"/>
          <w:sz w:val="18"/>
          <w:szCs w:val="18"/>
        </w:rPr>
        <w:t>[1] Jensen Huang, keynote GTC 2026, San José, 18 de março de 2026; blog NVIDIA, março de 2026.</w:t>
      </w:r>
    </w:p>
    <w:p w14:paraId="1B7BD512" w14:textId="77777777" w:rsidR="00A24501" w:rsidRDefault="00263596">
      <w:pPr>
        <w:spacing w:after="60" w:line="260" w:lineRule="auto"/>
      </w:pPr>
      <w:r>
        <w:rPr>
          <w:color w:val="666666"/>
          <w:sz w:val="18"/>
          <w:szCs w:val="18"/>
        </w:rPr>
        <w:t>[2] Pizzi, F. (2026). AI for Americans First. Universidade Paris Sorbonne. 103 páginas, 157 notas. https://github.com/mo0ogly/America-First-IA</w:t>
      </w:r>
    </w:p>
    <w:p w14:paraId="78A9CE6E" w14:textId="77777777" w:rsidR="00A24501" w:rsidRDefault="00263596">
      <w:pPr>
        <w:spacing w:after="60" w:line="260" w:lineRule="auto"/>
      </w:pPr>
      <w:r>
        <w:rPr>
          <w:color w:val="666666"/>
          <w:sz w:val="18"/>
          <w:szCs w:val="18"/>
        </w:rPr>
        <w:t>[3] LIA-Scan: plataforma de auditoria de configuração de cibersegurança, 200+ tecnologias, 160+ frameworks. Pipeline agêntico noturno via n8n.</w:t>
      </w:r>
    </w:p>
    <w:p w14:paraId="25614953" w14:textId="77777777" w:rsidR="00A24501" w:rsidRDefault="00263596">
      <w:pPr>
        <w:spacing w:after="60" w:line="260" w:lineRule="auto"/>
      </w:pPr>
      <w:r>
        <w:rPr>
          <w:color w:val="666666"/>
          <w:sz w:val="18"/>
          <w:szCs w:val="18"/>
        </w:rPr>
        <w:t>[4] Pizzi, F. (2026). Economia de Densidade Cognitiva e Estruturação de Mercado. Nota de pesquisa, Universidade Paris Sorbonne.</w:t>
      </w:r>
    </w:p>
    <w:sectPr w:rsidR="00A2450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DDF08" w14:textId="77777777" w:rsidR="00263596" w:rsidRDefault="00263596">
      <w:pPr>
        <w:spacing w:line="240" w:lineRule="auto"/>
      </w:pPr>
      <w:r>
        <w:separator/>
      </w:r>
    </w:p>
  </w:endnote>
  <w:endnote w:type="continuationSeparator" w:id="0">
    <w:p w14:paraId="446AA19E" w14:textId="77777777" w:rsidR="00263596" w:rsidRDefault="002635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6570" w14:textId="77777777" w:rsidR="00A24501" w:rsidRDefault="00263596">
    <w:pPr>
      <w:jc w:val="center"/>
    </w:pPr>
    <w:r>
      <w:rPr>
        <w:color w:val="666666"/>
        <w:sz w:val="16"/>
        <w:szCs w:val="16"/>
      </w:rPr>
      <w:t xml:space="preserve">Universidade Paris Sorbonne — Inteligência Econômica e Cibersegurança — </w:t>
    </w:r>
    <w:r>
      <w:rPr>
        <w:color w:val="666666"/>
        <w:sz w:val="16"/>
        <w:szCs w:val="16"/>
      </w:rPr>
      <w:fldChar w:fldCharType="begin"/>
    </w:r>
    <w:r>
      <w:rPr>
        <w:color w:val="666666"/>
        <w:sz w:val="16"/>
        <w:szCs w:val="16"/>
      </w:rPr>
      <w:instrText>PAGE</w:instrText>
    </w:r>
    <w:r>
      <w:rPr>
        <w:color w:val="666666"/>
        <w:sz w:val="16"/>
        <w:szCs w:val="16"/>
      </w:rPr>
      <w:fldChar w:fldCharType="separate"/>
    </w:r>
    <w:r>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B229F" w14:textId="77777777" w:rsidR="00263596" w:rsidRDefault="00263596">
      <w:pPr>
        <w:spacing w:line="240" w:lineRule="auto"/>
      </w:pPr>
      <w:r>
        <w:separator/>
      </w:r>
    </w:p>
  </w:footnote>
  <w:footnote w:type="continuationSeparator" w:id="0">
    <w:p w14:paraId="0C4053A7" w14:textId="77777777" w:rsidR="00263596" w:rsidRDefault="002635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A1D0" w14:textId="77777777" w:rsidR="00A24501" w:rsidRDefault="00263596">
    <w:pPr>
      <w:jc w:val="right"/>
    </w:pPr>
    <w:r>
      <w:rPr>
        <w:i/>
        <w:iCs/>
        <w:color w:val="666666"/>
        <w:sz w:val="16"/>
        <w:szCs w:val="16"/>
      </w:rPr>
      <w:t>Pizzi, F. (2026) — Nota de pesquisa — A IA como Amplificadora de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5916C6"/>
    <w:multiLevelType w:val="hybridMultilevel"/>
    <w:tmpl w:val="9D4840E0"/>
    <w:lvl w:ilvl="0" w:tplc="5BE2517E">
      <w:start w:val="1"/>
      <w:numFmt w:val="bullet"/>
      <w:lvlText w:val="●"/>
      <w:lvlJc w:val="left"/>
      <w:pPr>
        <w:ind w:left="720" w:hanging="360"/>
      </w:pPr>
    </w:lvl>
    <w:lvl w:ilvl="1" w:tplc="C1B61D52">
      <w:start w:val="1"/>
      <w:numFmt w:val="bullet"/>
      <w:lvlText w:val="○"/>
      <w:lvlJc w:val="left"/>
      <w:pPr>
        <w:ind w:left="1440" w:hanging="360"/>
      </w:pPr>
    </w:lvl>
    <w:lvl w:ilvl="2" w:tplc="510CB356">
      <w:start w:val="1"/>
      <w:numFmt w:val="bullet"/>
      <w:lvlText w:val="■"/>
      <w:lvlJc w:val="left"/>
      <w:pPr>
        <w:ind w:left="2160" w:hanging="360"/>
      </w:pPr>
    </w:lvl>
    <w:lvl w:ilvl="3" w:tplc="79F63A4C">
      <w:start w:val="1"/>
      <w:numFmt w:val="bullet"/>
      <w:lvlText w:val="●"/>
      <w:lvlJc w:val="left"/>
      <w:pPr>
        <w:ind w:left="2880" w:hanging="360"/>
      </w:pPr>
    </w:lvl>
    <w:lvl w:ilvl="4" w:tplc="E34C6DDC">
      <w:start w:val="1"/>
      <w:numFmt w:val="bullet"/>
      <w:lvlText w:val="○"/>
      <w:lvlJc w:val="left"/>
      <w:pPr>
        <w:ind w:left="3600" w:hanging="360"/>
      </w:pPr>
    </w:lvl>
    <w:lvl w:ilvl="5" w:tplc="0ECE744A">
      <w:start w:val="1"/>
      <w:numFmt w:val="bullet"/>
      <w:lvlText w:val="■"/>
      <w:lvlJc w:val="left"/>
      <w:pPr>
        <w:ind w:left="4320" w:hanging="360"/>
      </w:pPr>
    </w:lvl>
    <w:lvl w:ilvl="6" w:tplc="BF0E2DD2">
      <w:start w:val="1"/>
      <w:numFmt w:val="bullet"/>
      <w:lvlText w:val="●"/>
      <w:lvlJc w:val="left"/>
      <w:pPr>
        <w:ind w:left="5040" w:hanging="360"/>
      </w:pPr>
    </w:lvl>
    <w:lvl w:ilvl="7" w:tplc="178A5250">
      <w:start w:val="1"/>
      <w:numFmt w:val="bullet"/>
      <w:lvlText w:val="●"/>
      <w:lvlJc w:val="left"/>
      <w:pPr>
        <w:ind w:left="5760" w:hanging="360"/>
      </w:pPr>
    </w:lvl>
    <w:lvl w:ilvl="8" w:tplc="27762F18">
      <w:start w:val="1"/>
      <w:numFmt w:val="bullet"/>
      <w:lvlText w:val="●"/>
      <w:lvlJc w:val="left"/>
      <w:pPr>
        <w:ind w:left="6480" w:hanging="360"/>
      </w:pPr>
    </w:lvl>
  </w:abstractNum>
  <w:num w:numId="1" w16cid:durableId="437024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501"/>
    <w:rsid w:val="00263596"/>
    <w:rsid w:val="008A313C"/>
    <w:rsid w:val="00A2450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F1202"/>
  <w15:docId w15:val="{59B33D90-2717-4BC6-98C5-B40702B11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fr-FR" w:eastAsia="fr-F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60"/>
      <w:outlineLvl w:val="0"/>
    </w:pPr>
    <w:rPr>
      <w:b/>
      <w:bCs/>
      <w:color w:val="1A1A1A"/>
      <w:sz w:val="26"/>
      <w:szCs w:val="26"/>
    </w:rPr>
  </w:style>
  <w:style w:type="paragraph" w:styleId="Titre2">
    <w:name w:val="heading 2"/>
    <w:uiPriority w:val="9"/>
    <w:semiHidden/>
    <w:unhideWhenUsed/>
    <w:qFormat/>
    <w:pPr>
      <w:spacing w:before="240" w:after="120"/>
      <w:outlineLvl w:val="1"/>
    </w:pPr>
    <w:rPr>
      <w:b/>
      <w:bCs/>
      <w:color w:val="333333"/>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1313</Words>
  <Characters>7222</Characters>
  <Application>Microsoft Office Word</Application>
  <DocSecurity>0</DocSecurity>
  <Lines>60</Lines>
  <Paragraphs>17</Paragraphs>
  <ScaleCrop>false</ScaleCrop>
  <Company/>
  <LinksUpToDate>false</LinksUpToDate>
  <CharactersWithSpaces>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cp:lastPrinted>2026-03-23T22:13:00Z</cp:lastPrinted>
  <dcterms:created xsi:type="dcterms:W3CDTF">2026-03-23T21:31:00Z</dcterms:created>
  <dcterms:modified xsi:type="dcterms:W3CDTF">2026-03-23T22:13:00Z</dcterms:modified>
</cp:coreProperties>
</file>