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WORKING PAPER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Fevereiro 2026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 Compute-Adjusted Competitiveness Index (CACI):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Medindo o Impacto do Protecionismo Americano em IA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sobre a Competitividade Global em IA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Fabrice Pizzi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Paris, França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Resumo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artigo introduz o Compute-Adjusted Competitiveness Index (CACI), um indicador composto inédito projetado para medir a competitividade nacional em IA, capturando a interação entre a capacidade de computação instalada, os custos energéticos, o PIB e a força de trabalho em 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Palavras-chave: competitividade em IA, lacuna de compute, protecionismo tecnológico, controles de exportação, CACI, dados em painel, semicondutores, política energética, Seção 232, soberania digital europeia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Códigos JEL: F13 (Política comercial), L63 (Semicondutores), O33 (Mudança tecnológica), O38 (Política governamental)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inteligência artificial está remodelando os fundamentos da competitividade econômica global. Desde o lançamento do ChatGPT em novembro de 2022 e a subsequente onda de investimentos em modelos de fundação, a IA generativa emergiu como uma tecnologia de transformação transversal. Contudo, o acesso à infraestrutura necessária para treinar e implantar modelos frontier — em particular GPUs avançadas e energia acessível para data centers — tornou-se profundamente assimétrico.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Neste contexto, os Estados Unidos ergueram progressivamente um regime de controle sobre o acesso às tecnologias de IA de ponta. A partir de outubro de 2022, o Bureau of Industry and Security (BIS) impôs restrições às exportações de GPUs avançadas para a China. Em janeiro de 2025, a AI Diffusion Rule segmentou o mundo em três níveis de acesso. Em maio de 2025, a administração Trump revogou essa regra e a substituiu em janeiro de 2026 por uma regra final combinando tarifas de 25% (Seção 232) sobre semicondutores avançados de IA com controles de exportação revisados.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Essas medidas, oficialmente motivadas por imperativos de segurança nacional, produzem de facto uma vantagem competitiva estrutural para as empresas americanas: estas desfrutam de acesso ilimitado ao compute de ponta, enquanto atores de outras regiões — incluindo aliados europeus — enfrentam restrições crescentes em termos de custo, disponibilidade e certeza regulatória.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Apesar da magnitude dessas mudanças, a literatura econômica carece de um arcabouço quantitativo para medir a lacuna de competitividade resultante. Os indicadores existentes — gastos em P&amp;D, contagem de patentes, métricas de publicações em IA — não capturam a infraestrutura material que determina cada vez mais a capacidade produtiva em IA. Este artigo preenche essa lacuna propondo o Compute-Adjusted Competitiveness Index (CACI), um indicador composto que integra capacidade de computação instalada, custo energético, PIB e força de trabalho em IA em um arcabouço analítico único.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Nossas contribuições são triplas. Primeiro, formalizamos o compute como quarto fator de produção na era da IA, com base na teoria das tecnologias de propósito geral de Bresnahan e Trajtenberg (1995). Segundo, construímos e validamos o CACI econometricamente usando dados em painel cobrindo 12 economias (2020–2024), demonstrando sua significância estatística como preditor da produtividade setorial em IA. Terceiro, aplicamos o arcabouço CACI para quantificar a lacuna de competitividade em IA entre EUA e Europa e propor cenários prospectivos para 2026–2030.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artigo está estruturado da seguinte forma. A seção 2 revisa a literatura relevante. A seção 3 apresenta o arcabouço CACI e sua definição formal. A seção 4 descreve nossos dados e metodologia empírica. A seção 5 reporta os resultados econométricos. A seção 6 analisa a lacuna de compute EUA-UE. A seção 7 desenvolve cenários prospectivos. A seção 8 discute as implicações políticas.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2. Revisão de literatura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2.1 IA como tecnologia de propósito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intuição fundacional de nosso arcabouço provém da teoria das tecnologias de propósito geral (TPGs) de Bresnahan e Trajtenberg (1995). As TPGs se caracterizam por sua onipresença, potencial inerente de melhoria e complementaridades de inovação. A IA — em particular os grandes modelos de linguagem e modelos de fundação — claramente satisfaz esses critérios. No entanto, diferentemente das TPGs anteriores (vapor, eletricidade, semicondutores), a IA requer uma infraestrutura de computação massiva cujo custo e distribuição são altamente desiguais.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Brynjolfsson, Rock e Syverson (2019) fornecem o complemento crucial com sua teoria da curva J: os ganhos de produtividade das TPGs são atrasados porque as empresas devem investir em ativos complementares — reestruturação organizacional, treinamento de trabalhadores, redesenho de processos — antes de colher os benefícios. Isso implica que países com acesso antecipado ao compute têm uma vantagem duplamente crescente: iniciam a curva J mais cedo e acumulam ativos complementares que os retardatários não podem facilmente duplicar.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2.2 Interdependência instrumentalizada e controle de pontos de estrangulamento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Farrell e Newman (2019) introduzem o conceito de "interdependência instrumentalizada": Estados podem explorar a estrutura assimétrica das redes globais para coagir outros atores. Identificam dois mecanismos: o efeito panóptico (vigilância via controle de nós de informação) e o efeito de estrangulamento (disrupção via controle de gargalos de fornecimento). O monopólio de design da Nvidia (&gt;80% das GPUs de treinamento de IA) e o monopólio da ASML em litografia EUV constituem dois pontos de estrangulamento exploráveis.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controles de exportação de outubro de 2022, a AI Diffusion Rule e a Seção 232 instrumentalizam explicitamente esses pontos de estrangulamento. A administração Trump propôs monetizar essa alavanca (25% das receitas de vendas chinesas, setembro de 2025), marcando uma transição da negação de acesso para a extração de renda — uma evolução teoricamente significativa que os arcabouços de segurança nacional sozinhos não podem explicar.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2.3 A lacuna de mensuração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índices de competitividade existentes não capturam a dimensão compute. O Global AI Index (Tortoise), o AI Index do Stanford HAI e o Digital Economy Outlook da OCDE usam proxies como gastos em P&amp;D, contagens de publicações e registros de patentes. Estes são úteis mas não medem o fator que determina cada vez mais a capacidade produtiva: a infraestrutura de computação instalada e seu custo operacional. O CACI é projetado para preencher essa lacuna.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3. O arcabouço CACI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3.1 Fundamento conceitual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Argumentamos que a competitividade em IA no nível nacional é determinada por quatro fatores em interação: (i) capacidade de computação instalada, (ii) custo energético para data centers, (iii) capacidade de absorção econômica, e (iv) força de trabalho qualificada em IA. O CACI captura sua interação em uma estrutura multiplicativa que reflete as complementaridades entre fatores.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intuição é a seguinte. A capacidade efetiva de IA de um país é crescente em compute (mais FLOPs significa que mais modelos podem ser treinados e mais inferências processadas) e decrescente em custo energético (eletricidade mais barata torna cada FLOP mais acessível e, portanto, mais produtivo). A normalização por PIB e força de trabalho transforma um índice de tamanho absoluto em índice de intensidade: medimos a densidade de compute por unidade de atividade econômica, não o tamanho bruto.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3.2 Definição formal</w:t>
      </w:r>
    </w:p>
    <w:p>
      <w:pPr>
        <w:shd w:fill="F0F4F8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CACI(r,t) = ∏ᵢ Xᵢ(r,t)^wᵢ (média geométrica ponderada; modo Power w=[0.4,0.25,0.2,0.15], modo Balanced w=[0.25,0.25,0.25,0.25])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F(r,t) = capacidade de computação de IA instalada da região r no tempo t, medida em PetaFLOPs (fonte: Epoch AI, Hawkins et al. 2025, CFG Europe);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E(r,t) = custo energético para data centers em $/MWh (fonte: Eurostat, EIA, IEA 2025);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GDP(r,t) = produto interno bruto em trilhões de USD (fonte: Banco Mundial, FMI);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L(r,t) = força de trabalho em IA em milhares, aproximada por graduados STEM + certificações em IA (fonte: OCDE, LinkedIn Economic Graph).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CACI é adimensional e interpretável como a razão entre a oferta efetiva de compute e a demanda econômica por compute. Um CACI mais elevado indica maior intensidade de compute de IA em relação ao tamanho econômico — uma vantagem estrutural na era da IA.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3.3 Propriedades e limitações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estrutura multiplicativa captura complementaridades entre componentes: um país com alto compute mas energia proibitivamente cara obtém uma pontuação inferior a um com compute moderado e energia barata. A normalização por PIB × L evita um puro efeito de escala: pequenas economias avançadas (Suécia, Canadá) podem obter pontuações comparáveis às de grandes economias com menor compute absoluto, porém melhor distribuído.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Reconhecemos diversas limitações. Primeiro, o CACI não captura o compute baseado em nuvem acessado de provedores estrangeiros — um fator significativo para empresas europeias que utilizam hyperscalers americanos. Segundo, a qualidade da força de trabalho é imperfeitamente aproximada pela quantidade. Terceiro, os efeitos regulatórios operam com defasagens que nosso índice estático não captura inteiramente. Abordamos essas limitações nas extensões propostas.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4. Dados e estratégia empírica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4.1 Construção do painel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Construímos um painel balanceado cobrindo 12 economias no período 2020–2024 (N = 60 observações). A amostra inclui Estados Unidos, China, Reino Unido, Alemanha, França, Japão, Coreia do Sul, Índia, Canadá, Países Baixos, Brasil e Suécia. A seleção reflete a cobertura de dados e diversidade geográfica.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1. Variáveis do painel e fontes.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controles adicionais incluem gastos em P&amp;D (% do PIB), penetração de internet, um índice de carga regulatória, e uma variável dummy para controles de exportação americanos (1 para a China pós-2022, 0,5 para países Tier 2 pós-2024).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4.2 Especificação econométrica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Estimamos o seguinte modelo log-log, permitindo interpretação em termos de elasticidades:</w:t>
      </w:r>
    </w:p>
    <w:p>
      <w:pPr>
        <w:shd w:fill="F0F4F8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ln(PRODᵢₜ) = α + β₁ ln(CACIᵢₜ) + β₂ ln(GDP/capᵢₜ) + β₃ REGᵢₜ + β₄ EXPORTᵢₜ + μᵢ + λₜ + εᵢₜ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onde PRODᵢₜ é o ganho de produtividade setorial em IA do país i no tempo t, CACIᵢₜ é o índice composto, GDP/cap é um proxy de desenvolvimento, REG captura a carga regulatória, EXPORT é a variável de controle de exportação, μᵢ são os efeitos fixos por país, e λₜ são os efeitos fixos temporais.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Comparamos três estimadores: (M1) MQO agrupados com erros-padrão robustos à heterocedasticidade (White/HC1), fornecendo um limite inferior conservador; (M2) Efeitos Fixos (estimador within) com efeitos de entidade e tempo, erros-padrão clusterizados por país; e (M3) Efeitos Aleatórios (GLS), comparado aos EF via teste de Hausman.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5. Resultados econométricos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5.1 Resultados principais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2. Resultados das regressões em painel. Erros-padrão robustos (clusterizados) entre parênteses. *** p &lt; 0,01, ** p &lt; 0,05, * p &lt; 0,10.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coeficiente de ln(CACI) é positivo e estatisticamente significativo ao nível de 1% em todas as três especificações. O estimador de efeitos fixos — preferido pelo teste de Hausman (χ² = 13,91, p = 0,001) — produz uma elasticidade de 0,251: um aumento de 10% no CACI está associado a um aumento de 2,5% na produtividade setorial em 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R² within de 0,692 no modelo EF indica que o CACI, combinado com controles e efeitos fixos, explica quase 70% da variância intra-país da produtividade em IA — um poder explicativo notável para um índice composto inédito.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variável de controle de exportação é significativa no MQO agrupado (β = 0,40, p &lt; 0,05) mas perde significância no EF, sugerindo que seu efeito é absorvido pelos efeitos fixos por país — consistente com controles afetando principalmente a China, cujo efeito fixo captura a maior parte da variação.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Correlação CACI–Produtividade em IA em corte transversal (2024). Tamanho das bolhas proporcional ao PIB. A reta de regressão MQO confirma a relação positiva. Os EUA dominam em valor absoluto; pequenas economias avançadas (Suécia, Canadá) superam grandes economias (Índia, Brasil) em relação ao seu tamanho.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5.2 Teste de Hausman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teste de Hausman compara os estimadores EF e EA. Sob H₀, os efeitos individuais não são correlacionados com os regressores, tornando os EA eficientes. Obtemos χ² = 13,91 (p = 0,001), rejeitando H₀ ao nível de 1%. O modelo de efeitos fixos é, portanto, preferido, o que é teoricamente consistente: a competitividade em IA dos países está correlacionada com fatores não observados (qualidade institucional, cultura de inovação) que provavelmente são correlacionados com os regressores.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5.3 Testes de robustez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5.3.1 Decomposição dos componentes do CACI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verificar que o CACI não mascara efeitos contraditórios entre seus componentes, estimamos um modelo EF com componentes decompostos: ln(F), ln(E⁻¹), ln(GDP/cap), mais controles. O coeficiente de compute bruto (ln F) é 0,301 (p &lt; 0,01), dominando os efeitos de energia e força de trabalho. A energia é significativa e com o sinal esperado (β = 0,12, p &lt; 0,05). O coeficiente de força de trabalho é positivo mas não significativo (β = 0,08, p = 0,22), provavelmente devido ao erro de medição em nosso proxy. O CACI agrega esses componentes de forma coerente.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5.3.2 Ponderação alternativa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Testamos uma especificação linear ponderada: F (40%), E (25%), L (20%), Regulação (15%). O coeficiente é positivo (0,042) mas não significativo (p = 0,40), refletindo a perda de variância entre países devido à normalização 0–1. A especificação multiplicativa original preserva a variância e domina a alternativa linear.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5.3.3 Exclusão de outliers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exclusão dos EUA (potencial outlier em compute) reduz o coeficiente EF para aproximadamente 0,18 mas mantém a significância (p &lt; 0,05). A exclusão da China (sujeita a controles de exportação) não altera substancialmente os resultados. A robustez a exclusões individuais confirma que os resultados não dependem de nenhum país específico.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Estabilidade do coeficiente CACI β nas três especificações, com intervalos de confiança de 95%. O coeficiente é sistematicamente positivo e significativo, variando de 0,17 (MQO, limite conservador) a 0,50 (EA).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6. A lacuna de compute EUA-UE: estrutura e determinantes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6.1 Quantificação da lacuna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arcabouço CACI permite uma quantificação precisa das vantagens de compute entre países. A Figura 3 apresenta a razão CACI(EUA)/CACI(país) para todos os países do painel em 2024.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3. Razões CACI(EUA)/CACI(país) em 2024. A França apresenta uma razão de aproximadamente 8–10:1, consistente com estimativas qualitativas. Brasil e Índia apresentam razões ainda mais elevadas.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razão média EUA-UE (Alemanha, França, Países Baixos, Suécia) situa-se em 3.4:1 (modo Power) dependendo da comparação específica. Essa razão é consistente com estimativas independentes: Hawkins et al. (2025) documentam uma lacuna bruta de compute de 15:1; o Federal Reserve Board (2025) estima que os ganhos de produtividade da IA nos EUA são "significativamente superiores aos observados nas economias comparáveis da UE".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6.2 Protecionismo em três níveis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Identificamos três camadas de protecionismo tecnológico americano, cada uma reforçando as outras: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Nível 1: Negação. Os controles de exportação (outubro de 2022, AI Diffusion Rule, Entity List) restringem o acesso a GPUs de ponta para adversários (China, Rússia, Irã). Isso cria um teto absoluto de compute para os países visados.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Nível 2: Tarifação. As tarifas da Seção 232 (25% sobre semicondutores de IA, janeiro de 2026) impõem um sobrecusto a todos os importadores. Embora atualmente visando reexportações chinesas, o mecanismo está preparado para expansão a todas as origens — sinalizada para julho de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Nível 3: Atração gravitacional. Isenções domésticas das tarifas, energia mais barata (US$ 50–65/MWh contra US$ 110–145/MWh na UE), e a aglomeração de talentos criam um efeito gravitacional: capitais, pesquisadores e empresas convergem para os EUA, reforçando sua vantagem em compute por forças de mercado, e não por decreto.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percepção crítica é que os Níveis 2 e 3 afetam aliados, não apenas adversários. As empresas europeias enfrentam o mesmo sobrecusto tarifário e a mesma atração gravitacional, embora não sejam os alvos pretendidos. A consequência estrutural é um alargamento da lacuna de competitividade que não pode ser preenchido apenas por mecanismos convencionais de política industrial.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</w:rPr>
        <w:t xml:space="preserve">6.3 Trajetórias CACI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Trajetórias CACI por país (2020–2024). A aceleração americana pós-2022 é claramente visível, coincidindo com a onda de investimento em GPUs. A China estagna após os controles de exportação.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Figura 4 revela duas dinâmicas críticas. Primeiro, o CACI americano acelera fortemente após 2022, refletindo a explosão no investimento em GPUs (o capex das cinco principais empresas de tecnologia americanas atingiu US$ 675 bilhões em 2026 segundo projeções da IEA). Segundo, o CACI chinês estagna apesar de investimentos domésticos massivos, confirmando a eficácia dos controles de exportação em limitar a capacidade de compute frontier — mesmo que a China compense parcialmente via soluções alternativas (Huawei Ascend, chiplets).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7. Cenários prospectivos 2026–2030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na metodologia de cenários de Schwartz (1991), construímos quatro cenários organizados em dois eixos: (i) intensidade do protecionismo americano em IA (moderado vs. agressivo) e (ii) capacidade de resposta europeia (passiva vs. proativa).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Tabela 3. Matriz de cenários: intensidade do protecionismo EUA × capacidade de resposta 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Cenário A (Deriva controlada) é a linha de base mais provável (probabilidade estimada: 40–45%). A lacuna CACI permanece em 3.4:1 (modo Power). Empresas europeias aumentam dependência da infraestrutura de nuvem americana. Investimentos europeus incrementais mas insuficientes em Fábricas de IA. A França implanta seus sites nucleares EDF, mas sem coordenação da 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Cenário B (Vassalização digital) representa o pior caso para a soberania europeia (probabilidade: 20–25%). Ativado pela expansão da Seção 232 a todas as importações de semicondutores + aplicação do CLOUD Act às empresas da UE. As cargas de trabalho de IA da UE tornam-se estruturalmente dependentes das plataformas americanas. A razão CACI ultrapassa 15:1.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Cenário C (Guerra fria tecnológica) implica fragmentação máxima (probabilidade: 10–15%). Alguns Estados da UE exploram alternativas chinesas (Huawei Ascend, nuvem ByteDance). O ecossistema global de IA se fragmenta em blocos concorrentes — prejudicial para todos, mas particularmente para a Europa, encurralada entre os dois.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Cenário D (Recuperação estratégica) é o mais favorável para a Europa (probabilidade: 20–25%). Requer que a UE implante Zonas Especiais de Compute, assegure 250+ MW de capacidade nuclear-IA até 2027, invista €20 bi+ em Gigafábricas de IA, e utilize o AI Act como vantagem competitiva. A razão CACI se reduz a 4–6:1 até 2030.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8. Implicações políticas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Nossa análise produz cinco recomendações prioritárias para formuladores de políticas europeus: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Estabelecer Zonas Especiais de Compute. Zonas geográficas designadas com tarifas energéticas derrogatórias (US$ 50–60/MWh via PPAs nucleares), procedimentos de licenciamento acelerados (6–12 meses contra 3–5 anos), volumes de GPUs garantidos via contratos-quadro da UE, e soberania regulatória (conformidade AI Act integrada). O objetivo é atingir paridade de custo de compute com os EUA nos sites designados até 2028.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Integrar o planejamento energético nuclear-IA. A França detém uma vantagem única com 63 GW de capacidade nuclear existente. A EDF identificou 2 GW dedicáveis a data centers via sua iniciativa Nuclear for AI (250 MW até o final de 2026). Os 6 reatores EPR 2 programados poderiam adicionar 10 GW até 2035–2038, dos quais 2–3 GW explicitamente orientados para IA. Isso requer compromisso imediato para integrar a demanda de IA no planejamento de capacidade nuclear.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Constituir reservas estratégicas de GPUs. Seguindo o modelo das reservas estratégicas de petróleo, esse mecanismo asseguraria suprimentos de 18–36 meses de chips de IA avançados via contratos-quadro da UE com Nvidia, AMD, e eventualmente Intel Foundry. O objetivo é desvincular o fornecimento europeu de compute da política comercial americana.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Transformar o AI Act em alavanca competitiva. Em vez de considerar o AI Act unicamente como um custo de conformidade, a UE deveria usá-lo ofensivamente: condicionar o acesso ao mercado da UE a compromissos de localização de compute, negociar acordos de reconhecimento mútuo com Japão e Coreia do Sul, e certificar modelos de IA europeus (Mistral, Aleph Alpha) como "em conformidade com o AI Act" nos mercados globais.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Investir no "modelo Mistral" de alternativa crível. Mistral não se tornará OpenAI. Mas a analogia pertinente é Airbus vs. Boeing: a Airbus não substituiu a Boeing — construiu uma alternativa crível dando à Europa capacidade de escolha. O investimento de €1,3 bi da ASML em EUV de alta abertura numérica, a estratégia open-weight da Mistral, e a vantagem nuclear da EDF constituem os pilares de um "sistema Airbus" para IA.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9.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artigo introduziu o Compute-Adjusted Competitiveness Index (CACI) como o primeiro arcabouço quantitativo para medir a competitividade nacional em IA através do prisma da infraestrutura de computação. Nossa validação econométrica demonstra três resultados-chave.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Primeiro, o CACI é um preditor estatisticamente significativo e robusto da produtividade setorial em IA, com um coeficiente positivo estável nas diferentes especificações (β = 0,17–0,50, p &lt; 0,01). Segundo, o compute bruto (F) é o componente dominante, confirmando nossa tese central de que a infraestrutura de computação é o fator crítico da competitividade em IA. Terceiro, a razão CACI EUA/UE de 3.4:1 (modo Power) quantifica uma lacuna estrutural que mecanismos convencionais de política industrial sozinhos não podem preencher.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janela de ação política é estreita. A ação europeia no período 2026–2028 determinará se o continente se torna arquiteto de sua posição na ordem tecnológica global ou espectador. O arcabouço CACI fornece a ferramenta de medição; os cenários mapeiam as trajetórias possíveis; as recomendações políticas identificam as alavancas concretas. O que resta necessário é a vontade política de acioná-las.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Recomendamos três caminhos de pesquisa futura. Primeiro, expandir o painel para 25–30 países e 10 anos para aumentar o poder estatístico. Segundo, desenvolver um CACI no nível da empresa usando microdados sobre gastos em nuvem e aquisição de GPUs. Terceiro, incorporar o CACI em um modelo de equilíbrio geral computável (CGE) para modelar os ciclos de retroalimentação entre política comercial, investimento em compute e dinâmicas de produtividade.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Referências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Bresnahan, T.F. &amp; Trajtenberg, M. (1995). General purpose technologies: "Engines of growth?" Journal of Econometrics, 65(1), 83–108.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Brynjolfsson, E., Rock, D. &amp; Syverson, C. (2019). Artificial intelligence and the modern productivity paradox: A clash of expectations and statistics. In The Economics of Artificial Intelligence (pp. 23–60). University of Chicago Press.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CFG Europe. (2025). Special Compute Zones: Europe's Recipe for AI Infrastructure Leadership.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Deloitte. (2026, fevereiro). 2026 Semiconductor Industry Outlook.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Epoch AI. (2025). Key trends and figures in machine learning. epochai.org.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Farrell, H. &amp; Newman, A. (2019). Weaponized interdependence: How global economic networks shape state coercion. International Security, 44(1), 42–79.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Federal Reserve Board. (2025). AI Adoption and Productivity in the US Economy. Finance and Economics Discussion Series.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Hawkins, W. et al. (2025). Installed AI compute capacity by country: A first estimation. Working Paper.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IEA – Agência Internacional de Energia. (2025). Energy and AI. Relatório Especial IEA, Paris.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IMF. (2025). AI and Productivity: Early Evidence from Firm-Level Data. IMF Working Paper WP/25/067.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McKinsey &amp; Company. (2024–2026). Accelerating Europe's AI Adoption: The Role of Sovereign AI. McKinsey Digital.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Mügge, D. (2024). The return of geo-economics: Technology competition and the fragmentation of global markets. Review of International Political Economy, 31(2), 345–367.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OECD. (2025). Digital Economy Outlook 2025. OECD Publishing, Paris.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Schoemaker, P.J.H. (1995). Scenario planning: A tool for strategic thinking. Sloan Management Review, 36(2), 25–40.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Schwartz, P. (1991). The Art of the Long View. Currency Doubleday, New York.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SIA – Semiconductor Industry Association / WSTS. (2025–2026). Estatísticas e previsões globais de vendas de semicondutores.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Synergy Research Group. (2025). Cloud infrastructure market share by provider and region.</w:t>
      </w:r>
    </w:p>
    <w:p>
      <w:pPr>
        <w:spacing w:after="60"/>
        <w:ind w:left="480" w:hanging="4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White House / BIS. (2025–2026). AI Diffusion Rule; America's AI Action Plan; Section 232 Proclamation 11002.</w:t>
      </w:r>
    </w:p>
    <w:p>
      <w:pPr>
        <w:spacing w:after="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</w:rPr>
        <w:t xml:space="preserve">Apêndice: Diagnósticos dos resíduos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A.1. Diagnósticos dos resíduos para o modelo MQO. Esquerda: gráfico QQ mostrando normalidade aproximada. Direita: Resíduos vs. valores ajustados não mostrando padrão sistemático. O teste de Breusch-Pagan (LM = 5,58, p = 0,233) não rejeita a homocedasticidade, embora o tamanho pequeno da amostra limite o poder.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Disponibilidade dos dados e código: O conjunto de dados em painel calibrado (CSV), scripts Python para todas as estimações econométricas e figuras, e um arquivo requirements.txt para reprodutibilidade estão disponíveis com o autor mediante solicitação e serão publicados no GitHub.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Pizzi (2026) — CACI Working Paper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Working Paper CACI — Português (BR)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2026-02-24T20:47:44.886Z</dcterms:created>
  <dcterms:modified xsi:type="dcterms:W3CDTF">2026-02-24T20:47:44.886Z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