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a1a1a"/>
          <w:sz w:val="32"/>
          <w:szCs w:val="32"/>
        </w:rPr>
        <w:t xml:space="preserve">AI as Method Amplifier</w:t>
      </w:r>
    </w:p>
    <w:p>
      <w:pPr>
        <w:spacing w:after="200"/>
        <w:jc w:val="center"/>
      </w:pPr>
      <w:r>
        <w:rPr>
          <w:rFonts w:ascii="Times New Roman" w:cs="Times New Roman" w:eastAsia="Times New Roman" w:hAnsi="Times New Roman"/>
          <w:i/>
          <w:iCs/>
          <w:color w:val="333333"/>
          <w:sz w:val="24"/>
          <w:szCs w:val="24"/>
        </w:rPr>
        <w:t xml:space="preserve">Why the Scarce Competency in the AI Economy Will Be Framing,
Not Production</w:t>
      </w:r>
    </w:p>
    <w:p>
      <w:pPr>
        <w:spacing w:after="40"/>
        <w:jc w:val="center"/>
      </w:pPr>
      <w:r>
        <w:rPr>
          <w:rFonts w:ascii="Times New Roman" w:cs="Times New Roman" w:eastAsia="Times New Roman" w:hAnsi="Times New Roman"/>
          <w:b/>
          <w:bCs/>
          <w:sz w:val="24"/>
          <w:szCs w:val="24"/>
        </w:rPr>
        <w:t xml:space="preserve">Fabrice Pizzi</w:t>
      </w:r>
    </w:p>
    <w:p>
      <w:pPr>
        <w:spacing w:after="40"/>
        <w:jc w:val="center"/>
      </w:pPr>
      <w:r>
        <w:rPr>
          <w:rFonts w:ascii="Times New Roman" w:cs="Times New Roman" w:eastAsia="Times New Roman" w:hAnsi="Times New Roman"/>
          <w:color w:val="333333"/>
          <w:sz w:val="20"/>
          <w:szCs w:val="20"/>
        </w:rPr>
        <w:t xml:space="preserve">Université Paris Sorbonne — Economic Intelligence &amp; Cybersecurity</w:t>
      </w:r>
    </w:p>
    <w:p>
      <w:pPr>
        <w:spacing w:after="40"/>
        <w:jc w:val="center"/>
      </w:pPr>
      <w:r>
        <w:rPr>
          <w:rFonts w:ascii="Times New Roman" w:cs="Times New Roman" w:eastAsia="Times New Roman" w:hAnsi="Times New Roman"/>
          <w:color w:val="333333"/>
          <w:sz w:val="20"/>
          <w:szCs w:val="20"/>
        </w:rPr>
        <w:t xml:space="preserve">CISSP | Creator of LIA-Scan | Autonomous AI Agent Security Researcher</w:t>
      </w:r>
    </w:p>
    <w:p>
      <w:pPr>
        <w:spacing w:after="300"/>
        <w:jc w:val="center"/>
      </w:pPr>
      <w:r>
        <w:rPr>
          <w:rFonts w:ascii="Times New Roman" w:cs="Times New Roman" w:eastAsia="Times New Roman" w:hAnsi="Times New Roman"/>
          <w:i/>
          <w:iCs/>
          <w:color w:val="666666"/>
          <w:sz w:val="20"/>
          <w:szCs w:val="20"/>
        </w:rPr>
        <w:t xml:space="preserve">March 2026</w:t>
      </w:r>
    </w:p>
    <w:p>
      <w:pPr>
        <w:pBdr>
          <w:bottom w:val="single" w:color="999999" w:sz="4" w:space="1"/>
        </w:pBdr>
        <w:spacing w:after="200"/>
      </w:pPr>
    </w:p>
    <w:p>
      <w:pPr>
        <w:spacing w:before="100" w:after="80"/>
      </w:pPr>
      <w:r>
        <w:rPr>
          <w:rFonts w:ascii="Times New Roman" w:cs="Times New Roman" w:eastAsia="Times New Roman" w:hAnsi="Times New Roman"/>
          <w:b/>
          <w:bCs/>
          <w:sz w:val="22"/>
          <w:szCs w:val="22"/>
        </w:rPr>
        <w:t xml:space="preserve">Abstract</w:t>
      </w:r>
    </w:p>
    <w:p>
      <w:pPr>
        <w:spacing w:after="160" w:line="280"/>
        <w:ind w:left="567" w:right="567"/>
        <w:jc w:val="both"/>
      </w:pPr>
      <w:r>
        <w:rPr>
          <w:rFonts w:ascii="Times New Roman" w:cs="Times New Roman" w:eastAsia="Times New Roman" w:hAnsi="Times New Roman"/>
          <w:i/>
          <w:iCs/>
          <w:color w:val="333333"/>
          <w:sz w:val="20"/>
          <w:szCs w:val="20"/>
        </w:rPr>
        <w:t xml:space="preserve">The democratization of generative AI tools since 2023 has produced a paradox: more powerful tools have, in an initial phase, industrialized a new category of professional mediocrity. This research note analyzes the causes of this phenomenon (absence of structured piloting methodology, quality control deficit, confusion between production and validation) and proposes an analytical framework grounded in the concept of model behavioral engineering. Drawing on a concrete use case (LIA-Scan, a cybersecurity audit platform covering 160+ frameworks) and on Jensen Huang's five-layer model (energy, chips, infrastructure, models, applications), the note demonstrates that the scarce competency in the AI economy will not be the ability to produce, but the ability to frame, verify, orchestrate, and arbitrate model outputs at industrial cadence. The concept of cognitive density economics is introduced to designate this new work regime.</w:t>
      </w:r>
    </w:p>
    <w:p>
      <w:pPr>
        <w:spacing w:after="200" w:line="280"/>
        <w:ind w:left="567" w:right="567"/>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model behavioral engineering, generative AI, framing, cognitive density, agentic pipeline, cybersecurity audit, LIA-Scan, method, CACI</w:t>
      </w:r>
    </w:p>
    <w:p>
      <w:pPr>
        <w:pBdr>
          <w:bottom w:val="single" w:color="999999" w:sz="4" w:space="1"/>
        </w:pBdr>
        <w:spacing w:after="200"/>
      </w:pPr>
    </w:p>
    <w:p>
      <w:pPr>
        <w:pStyle w:val="Heading1"/>
      </w:pPr>
      <w:r>
        <w:rPr>
          <w:rFonts w:ascii="Times New Roman" w:cs="Times New Roman" w:eastAsia="Times New Roman" w:hAnsi="Times New Roman"/>
        </w:rPr>
        <w:t xml:space="preserve">1. The paradox of the first phase: tool power, method poverty</w:t>
      </w:r>
    </w:p>
    <w:p>
      <w:pPr>
        <w:spacing w:after="160" w:line="300"/>
        <w:jc w:val="both"/>
      </w:pPr>
      <w:r>
        <w:rPr>
          <w:rFonts w:ascii="Times New Roman" w:cs="Times New Roman" w:eastAsia="Times New Roman" w:hAnsi="Times New Roman"/>
          <w:sz w:val="22"/>
          <w:szCs w:val="22"/>
        </w:rPr>
        <w:t xml:space="preserve">Since 2023, the rapid democratization of LLMs and generative AI tools has placed considerable production capabilities in the hands of professionals who had no structured methodology for piloting them. The result, widely documented in the literature and in industrial feedback, is predictable: superficial analyses, fragile code, plausible but hollow syntheses, deliverables that pass initial reviews but fail in production.</w:t>
      </w:r>
    </w:p>
    <w:p>
      <w:pPr>
        <w:spacing w:after="160" w:line="300"/>
        <w:jc w:val="both"/>
      </w:pPr>
      <w:r>
        <w:rPr>
          <w:rFonts w:ascii="Times New Roman" w:cs="Times New Roman" w:eastAsia="Times New Roman" w:hAnsi="Times New Roman"/>
          <w:sz w:val="22"/>
          <w:szCs w:val="22"/>
        </w:rPr>
        <w:t xml:space="preserve">This phenomenon has been massively attributed to model "hallucinations." Yet a more rigorous analysis shows that a large part of the problem lies with the human operator: absence of upstream problem framing, absence of output verification, absence of cross-source comparison, absence of critical questioning. The machine amplified a bad working method. It did not create it.</w:t>
      </w:r>
    </w:p>
    <w:p>
      <w:pPr>
        <w:spacing w:after="160" w:line="300"/>
        <w:jc w:val="both"/>
      </w:pPr>
      <w:r>
        <w:rPr>
          <w:rFonts w:ascii="Times New Roman" w:cs="Times New Roman" w:eastAsia="Times New Roman" w:hAnsi="Times New Roman"/>
          <w:sz w:val="22"/>
          <w:szCs w:val="22"/>
        </w:rPr>
        <w:t xml:space="preserve">This phase will end, not because models will become perfect, but because organizations will learn, often at high cost, what an uncontrolled AI deliverable deployed in a production environment represents, particularly in high-stakes contexts: security, finance, healthcare, law, strategic decision-making.</w:t>
      </w:r>
    </w:p>
    <w:p>
      <w:pPr>
        <w:pStyle w:val="Heading1"/>
      </w:pPr>
      <w:r>
        <w:rPr>
          <w:rFonts w:ascii="Times New Roman" w:cs="Times New Roman" w:eastAsia="Times New Roman" w:hAnsi="Times New Roman"/>
        </w:rPr>
        <w:t xml:space="preserve">2. The five-layer model and the dependency chain</w:t>
      </w:r>
    </w:p>
    <w:p>
      <w:pPr>
        <w:spacing w:after="160" w:line="300"/>
        <w:jc w:val="both"/>
      </w:pPr>
      <w:r>
        <w:rPr>
          <w:rFonts w:ascii="Times New Roman" w:cs="Times New Roman" w:eastAsia="Times New Roman" w:hAnsi="Times New Roman"/>
          <w:sz w:val="22"/>
          <w:szCs w:val="22"/>
        </w:rPr>
        <w:t xml:space="preserve">Jensen Huang proposed, at GTC San José (March 2026), a five-layer model to describe AI infrastructure: energy, chips, physical infrastructure, models, and applications. [1] This model expresses a reality often ignored in the AI debate: behind every AI output lies a complete industrial dependency chain. This chain costs, it constrains, and it creates massive asymmetries between those who control it and those who depend on it.</w:t>
      </w:r>
    </w:p>
    <w:p>
      <w:pPr>
        <w:spacing w:after="160" w:line="300"/>
        <w:jc w:val="both"/>
      </w:pPr>
      <w:r>
        <w:rPr>
          <w:rFonts w:ascii="Times New Roman" w:cs="Times New Roman" w:eastAsia="Times New Roman" w:hAnsi="Times New Roman"/>
          <w:sz w:val="22"/>
          <w:szCs w:val="22"/>
        </w:rPr>
        <w:t xml:space="preserve">The CACI (Competitive Advantage of Compute Index), constructed as part of the research </w:t>
      </w:r>
      <w:r>
        <w:rPr>
          <w:rFonts w:ascii="Times New Roman" w:cs="Times New Roman" w:eastAsia="Times New Roman" w:hAnsi="Times New Roman"/>
          <w:i/>
          <w:iCs/>
          <w:sz w:val="22"/>
          <w:szCs w:val="22"/>
        </w:rPr>
        <w:t xml:space="preserve">AI for Americans First</w:t>
      </w:r>
      <w:r>
        <w:rPr>
          <w:rFonts w:ascii="Times New Roman" w:cs="Times New Roman" w:eastAsia="Times New Roman" w:hAnsi="Times New Roman"/>
          <w:sz w:val="22"/>
          <w:szCs w:val="22"/>
        </w:rPr>
        <w:t xml:space="preserve"> (Pizzi, Sorbonne, 2026), quantifies this asymmetry using a weighted geometric formula (F⁰·⁴⁰ × L⁰·²⁰ × R⁰·¹⁵ / E⁰·²⁵ in Power Mode, or /(E⁰·²⁵ × GDP) in Intensity Mode) integrating four dimensions: energy, semiconductors, compute, and regulation. The CACI US/EU ratio is 3.4:1 in Power Mode. [2]</w:t>
      </w:r>
    </w:p>
    <w:p>
      <w:pPr>
        <w:spacing w:after="160" w:line="300"/>
        <w:jc w:val="both"/>
      </w:pPr>
      <w:r>
        <w:rPr>
          <w:rFonts w:ascii="Times New Roman" w:cs="Times New Roman" w:eastAsia="Times New Roman" w:hAnsi="Times New Roman"/>
          <w:sz w:val="22"/>
          <w:szCs w:val="22"/>
        </w:rPr>
        <w:t xml:space="preserve">This ratio has a direct consequence on the world of work: professionals operating in ecosystems structurally under-endowed in compute will need to compensate through superior operational mastery. The scarce resource will not be access to the tool. It will be the ability to extract reliable results from it despite the constraints.</w:t>
      </w:r>
    </w:p>
    <w:p>
      <w:pPr>
        <w:pStyle w:val="Heading1"/>
      </w:pPr>
      <w:r>
        <w:rPr>
          <w:rFonts w:ascii="Times New Roman" w:cs="Times New Roman" w:eastAsia="Times New Roman" w:hAnsi="Times New Roman"/>
        </w:rPr>
        <w:t xml:space="preserve">3. Competency redistribution: method over seniority</w:t>
      </w:r>
    </w:p>
    <w:p>
      <w:pPr>
        <w:spacing w:after="160" w:line="300"/>
        <w:jc w:val="both"/>
      </w:pPr>
      <w:r>
        <w:rPr>
          <w:rFonts w:ascii="Times New Roman" w:cs="Times New Roman" w:eastAsia="Times New Roman" w:hAnsi="Times New Roman"/>
          <w:sz w:val="22"/>
          <w:szCs w:val="22"/>
        </w:rPr>
        <w:t xml:space="preserve">AI redistributes competitive advantages in counter-intuitive ways. Raw seniority, defined as accumulated experience without an explicit reasoning structure, loses relative value. An experienced professional who pilots AI approximately will be overtaken by a junior profile equipped with a rigorous thinking structure: capable of decomposing a problem, orchestrating multiple tools in parallel, comparing their outputs, identifying blind spots, and validating before delivering.</w:t>
      </w:r>
    </w:p>
    <w:p>
      <w:pPr>
        <w:spacing w:after="160" w:line="300"/>
        <w:jc w:val="both"/>
      </w:pPr>
      <w:r>
        <w:rPr>
          <w:rFonts w:ascii="Times New Roman" w:cs="Times New Roman" w:eastAsia="Times New Roman" w:hAnsi="Times New Roman"/>
          <w:sz w:val="22"/>
          <w:szCs w:val="22"/>
        </w:rPr>
        <w:t xml:space="preserve">This observation aligns with a broader pedagogical principle: a well-constructed and rigorous mind will always outperform a mind full of information and experience but lacking this operating schema. AI does not change this truth. It accelerates it and makes it more visible than it has ever been. The advantage is not tied to age or title. It is tied to method.</w:t>
      </w:r>
    </w:p>
    <w:p>
      <w:pPr>
        <w:pStyle w:val="Heading1"/>
      </w:pPr>
      <w:r>
        <w:rPr>
          <w:rFonts w:ascii="Times New Roman" w:cs="Times New Roman" w:eastAsia="Times New Roman" w:hAnsi="Times New Roman"/>
        </w:rPr>
        <w:t xml:space="preserve">4. Model behavioral engineering: illustration through LIA-Scan</w:t>
      </w:r>
    </w:p>
    <w:p>
      <w:pPr>
        <w:spacing w:after="160" w:line="300"/>
        <w:jc w:val="both"/>
      </w:pPr>
      <w:r>
        <w:rPr>
          <w:rFonts w:ascii="Times New Roman" w:cs="Times New Roman" w:eastAsia="Times New Roman" w:hAnsi="Times New Roman"/>
          <w:sz w:val="22"/>
          <w:szCs w:val="22"/>
        </w:rPr>
        <w:t xml:space="preserve">LIA-Scan is a cybersecurity configuration audit platform covering over 200 technologies and 160+ frameworks (GRC, ISMS). To automate CVE detection rule generation, a nightly agentic pipeline was designed using n8n. [3]</w:t>
      </w:r>
    </w:p>
    <w:p>
      <w:pPr>
        <w:spacing w:after="160" w:line="300"/>
        <w:jc w:val="both"/>
      </w:pPr>
      <w:r>
        <w:rPr>
          <w:rFonts w:ascii="Times New Roman" w:cs="Times New Roman" w:eastAsia="Times New Roman" w:hAnsi="Times New Roman"/>
          <w:sz w:val="22"/>
          <w:szCs w:val="22"/>
        </w:rPr>
        <w:t xml:space="preserve">The agent does not produce a YAML rule as direct output. It traverses a mandatory structured loop: problem decomposition, approach planning, generation action, result observation, evaluation with explicit scoring. This scoring functions as a flow control signal: below a certain threshold, the agent loops back, replans, and changes approach by integrating a lessons-learned phase. Above the threshold, the rule is committed. The journal of each action is append-only and auditable.</w:t>
      </w:r>
    </w:p>
    <w:p>
      <w:pPr>
        <w:spacing w:after="160" w:line="300"/>
        <w:jc w:val="both"/>
      </w:pPr>
      <w:r>
        <w:rPr>
          <w:rFonts w:ascii="Times New Roman" w:cs="Times New Roman" w:eastAsia="Times New Roman" w:hAnsi="Times New Roman"/>
          <w:sz w:val="22"/>
          <w:szCs w:val="22"/>
        </w:rPr>
        <w:t xml:space="preserve">Without this mechanism, the rate of unusable rules in production was unacceptable. With it, the pipeline produces testable, traceable rules deployable on banking environments (DORA, NIS2/ReCyF). When a rule fails, the error is localizable in the journal at the precise step where the reasoning deviated.</w:t>
      </w:r>
    </w:p>
    <w:p>
      <w:pPr>
        <w:spacing w:after="160" w:line="300"/>
        <w:jc w:val="both"/>
      </w:pPr>
      <w:r>
        <w:rPr>
          <w:rFonts w:ascii="Times New Roman" w:cs="Times New Roman" w:eastAsia="Times New Roman" w:hAnsi="Times New Roman"/>
          <w:sz w:val="22"/>
          <w:szCs w:val="22"/>
        </w:rPr>
        <w:t xml:space="preserve">This is not AI usage. It is model behavioral engineering: the design of structural constraints that force the model to produce in a controlled, evaluable, and traceable manner. It is precisely this competency that the AI economy will make scarce and valued.</w:t>
      </w:r>
    </w:p>
    <w:p>
      <w:pPr>
        <w:pStyle w:val="Heading1"/>
      </w:pPr>
      <w:r>
        <w:rPr>
          <w:rFonts w:ascii="Times New Roman" w:cs="Times New Roman" w:eastAsia="Times New Roman" w:hAnsi="Times New Roman"/>
        </w:rPr>
        <w:t xml:space="preserve">5. Cognitive density economics: definition and scope</w:t>
      </w:r>
    </w:p>
    <w:p>
      <w:pPr>
        <w:spacing w:after="160" w:line="300"/>
        <w:jc w:val="both"/>
      </w:pPr>
      <w:r>
        <w:rPr>
          <w:rFonts w:ascii="Times New Roman" w:cs="Times New Roman" w:eastAsia="Times New Roman" w:hAnsi="Times New Roman"/>
          <w:sz w:val="22"/>
          <w:szCs w:val="22"/>
        </w:rPr>
        <w:t xml:space="preserve">Work does not disappear with AI. It shifts: from doing to framing, verifying, orchestrating, and arbitrating. Organizations that become accustomed to quality AI deliverables permanently raise the expected standard. The additional volume produced by AI will not be synonymous with comfort: it will be synonymous with continuously increasing demands.</w:t>
      </w:r>
    </w:p>
    <w:p>
      <w:pPr>
        <w:spacing w:after="160" w:line="300"/>
        <w:jc w:val="both"/>
      </w:pPr>
      <w:r>
        <w:rPr>
          <w:rFonts w:ascii="Times New Roman" w:cs="Times New Roman" w:eastAsia="Times New Roman" w:hAnsi="Times New Roman"/>
          <w:sz w:val="22"/>
          <w:szCs w:val="22"/>
        </w:rPr>
        <w:t xml:space="preserve">The concept of cognitive density economics designates this new regime: an economy where the scarce competency is not the ability to produce, but the ability to produce correctly, coherently, at industrial cadence, with complete traceability. Tool power amplifies framing errors as much as it amplifies good decisions.</w:t>
      </w:r>
    </w:p>
    <w:p>
      <w:pPr>
        <w:spacing w:after="160" w:line="300"/>
        <w:jc w:val="both"/>
      </w:pPr>
      <w:r>
        <w:rPr>
          <w:rFonts w:ascii="Times New Roman" w:cs="Times New Roman" w:eastAsia="Times New Roman" w:hAnsi="Times New Roman"/>
          <w:sz w:val="22"/>
          <w:szCs w:val="22"/>
        </w:rPr>
        <w:t xml:space="preserve">This concept admits a dual reading. At the individual and organizational level, it describes the intensification of cognitive work. At the geostrategic level (developed in a complementary note [4]), it designates a new power regime where a nation's wealth is measured by its capacity to transform compute into reliable, verifiable, and sovereign results.</w:t>
      </w:r>
    </w:p>
    <w:p>
      <w:pPr>
        <w:pStyle w:val="Heading1"/>
      </w:pPr>
      <w:r>
        <w:rPr>
          <w:rFonts w:ascii="Times New Roman" w:cs="Times New Roman" w:eastAsia="Times New Roman" w:hAnsi="Times New Roman"/>
        </w:rPr>
        <w:t xml:space="preserve">6. Conclusion</w:t>
      </w:r>
    </w:p>
    <w:p>
      <w:pPr>
        <w:spacing w:after="160" w:line="300"/>
        <w:jc w:val="both"/>
      </w:pPr>
      <w:r>
        <w:rPr>
          <w:rFonts w:ascii="Times New Roman" w:cs="Times New Roman" w:eastAsia="Times New Roman" w:hAnsi="Times New Roman"/>
          <w:sz w:val="22"/>
          <w:szCs w:val="22"/>
        </w:rPr>
        <w:t xml:space="preserve">The first phase of enterprise generative AI deployment (2023-2026) has exposed a structural method deficit, masked by tool power. The next phase will be characterized by rising demands in all high-value contexts, where uncontrolled deliverables will no longer be tolerated.</w:t>
      </w:r>
    </w:p>
    <w:p>
      <w:pPr>
        <w:spacing w:after="160" w:line="300"/>
        <w:jc w:val="both"/>
      </w:pPr>
      <w:r>
        <w:rPr>
          <w:rFonts w:ascii="Times New Roman" w:cs="Times New Roman" w:eastAsia="Times New Roman" w:hAnsi="Times New Roman"/>
          <w:sz w:val="22"/>
          <w:szCs w:val="22"/>
        </w:rPr>
        <w:t xml:space="preserve">The differentiating competency will not be access to AI nor the ability to produce volume, but mastery of framing, verification, and orchestration of model outputs. Model behavioral engineering, illustrated here through the LIA-Scan case, constitutes an initial formalization of this discipline.</w:t>
      </w:r>
    </w:p>
    <w:p>
      <w:pPr>
        <w:spacing w:after="160" w:line="300"/>
        <w:jc w:val="both"/>
      </w:pPr>
      <w:r>
        <w:rPr>
          <w:rFonts w:ascii="Times New Roman" w:cs="Times New Roman" w:eastAsia="Times New Roman" w:hAnsi="Times New Roman"/>
          <w:sz w:val="22"/>
          <w:szCs w:val="22"/>
        </w:rPr>
        <w:t xml:space="preserve">We are not entering an economy of assisted laziness. We are entering a cognitive density economy, and the level of demands will continue to rise as fast as the models advance.</w:t>
      </w:r>
    </w:p>
    <w:p>
      <w:pPr>
        <w:pBdr>
          <w:bottom w:val="single" w:color="999999" w:sz="2" w:space="1"/>
        </w:pBdr>
        <w:spacing w:before="400"/>
      </w:pPr>
    </w:p>
    <w:p>
      <w:pPr>
        <w:spacing w:before="200" w:after="120"/>
      </w:pPr>
      <w:r>
        <w:rPr>
          <w:rFonts w:ascii="Times New Roman" w:cs="Times New Roman" w:eastAsia="Times New Roman" w:hAnsi="Times New Roman"/>
          <w:b/>
          <w:bCs/>
          <w:sz w:val="22"/>
          <w:szCs w:val="22"/>
        </w:rPr>
        <w:t xml:space="preserve">Notes</w:t>
      </w:r>
    </w:p>
    <w:p>
      <w:pPr>
        <w:spacing w:after="60" w:line="260"/>
      </w:pPr>
      <w:r>
        <w:rPr>
          <w:rFonts w:ascii="Times New Roman" w:cs="Times New Roman" w:eastAsia="Times New Roman" w:hAnsi="Times New Roman"/>
          <w:color w:val="666666"/>
          <w:sz w:val="18"/>
          <w:szCs w:val="18"/>
        </w:rPr>
        <w:t xml:space="preserve">[1] Jensen Huang, GTC 2026 keynote, San José, March 18, 2026; NVIDIA blog, March 2026.</w:t>
      </w:r>
    </w:p>
    <w:p>
      <w:pPr>
        <w:spacing w:after="60" w:line="260"/>
      </w:pPr>
      <w:r>
        <w:rPr>
          <w:rFonts w:ascii="Times New Roman" w:cs="Times New Roman" w:eastAsia="Times New Roman" w:hAnsi="Times New Roman"/>
          <w:color w:val="666666"/>
          <w:sz w:val="18"/>
          <w:szCs w:val="18"/>
        </w:rPr>
        <w:t xml:space="preserve">[2] Pizzi, F. (2026). AI for Americans First: US AI Protectionism, Reshaping of the Global Technological Order and Consequences for France and Europe (2026-2030). Université Paris Sorbonne. 103 pages, 157 notes. https://github.com/mo0ogly/America-First-IA</w:t>
      </w:r>
    </w:p>
    <w:p>
      <w:pPr>
        <w:spacing w:after="60" w:line="260"/>
      </w:pPr>
      <w:r>
        <w:rPr>
          <w:rFonts w:ascii="Times New Roman" w:cs="Times New Roman" w:eastAsia="Times New Roman" w:hAnsi="Times New Roman"/>
          <w:color w:val="666666"/>
          <w:sz w:val="18"/>
          <w:szCs w:val="18"/>
        </w:rPr>
        <w:t xml:space="preserve">[3] LIA-Scan: cybersecurity configuration audit platform, 200+ technologies, 160+ frameworks. Nightly agentic pipeline via n8n for automated CVE detection rule generation.</w:t>
      </w:r>
    </w:p>
    <w:p>
      <w:pPr>
        <w:spacing w:after="60" w:line="260"/>
      </w:pPr>
      <w:r>
        <w:rPr>
          <w:rFonts w:ascii="Times New Roman" w:cs="Times New Roman" w:eastAsia="Times New Roman" w:hAnsi="Times New Roman"/>
          <w:color w:val="666666"/>
          <w:sz w:val="18"/>
          <w:szCs w:val="18"/>
        </w:rPr>
        <w:t xml:space="preserve">[4] Pizzi, F. (2026). Cognitive Density Economics and Market Structuration: An Economic Intelligence Reading of Huang's Doctrine on AI Token Consumption. Research note, Université Paris Sorbonne.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Université Paris Sorbonne — Economic Intelligence &amp; Cybersecurity —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r>
      <w:rPr>
        <w:rFonts w:ascii="Times New Roman" w:cs="Times New Roman" w:eastAsia="Times New Roman" w:hAnsi="Times New Roman"/>
        <w:color w:val="666666"/>
        <w:sz w:val="16"/>
        <w:szCs w:val="16"/>
      </w:rPr>
      <w:t xml:space="preserve"> / </w:t>
    </w:r>
    <w:r>
      <w:rPr>
        <w:rFonts w:ascii="Times New Roman" w:cs="Times New Roman" w:eastAsia="Times New Roman" w:hAnsi="Times New Roman"/>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Pizzi, F. (2026) — Research Note — AI as Method Amplifier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a1a1a"/>
      <w:sz w:val="26"/>
      <w:szCs w:val="26"/>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2026-03-23T21:07:13.278Z</dcterms:created>
  <dcterms:modified xsi:type="dcterms:W3CDTF">2026-03-23T21:07:13.279Z</dcterms:modified>
</cp:coreProperties>
</file>

<file path=docProps/custom.xml><?xml version="1.0" encoding="utf-8"?>
<Properties xmlns="http://schemas.openxmlformats.org/officeDocument/2006/custom-properties" xmlns:vt="http://schemas.openxmlformats.org/officeDocument/2006/docPropsVTypes"/>
</file>