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F781A" w14:textId="77777777" w:rsidR="004A4E46" w:rsidRPr="00EB01F1" w:rsidRDefault="00000000">
      <w:pPr>
        <w:shd w:val="clear" w:color="auto" w:fill="D4AC0D"/>
        <w:jc w:val="center"/>
        <w:rPr>
          <w:lang w:val="fr-FR"/>
        </w:rPr>
      </w:pPr>
      <w:bookmarkStart w:id="0" w:name="_Hlk222994019"/>
      <w:r>
        <w:rPr>
          <w:rFonts w:ascii="Calibri" w:eastAsia="Calibri" w:hAnsi="Calibri" w:cs="Calibri"/>
          <w:sz w:val="28"/>
          <w:szCs w:val="28"/>
          <w:lang w:val="fr-FR"/>
        </w:rPr>
        <w:t xml:space="preserve"> </w:t>
      </w:r>
    </w:p>
    <w:p w14:paraId="611F5B7B" w14:textId="77777777" w:rsidR="004A4E46" w:rsidRPr="00EB01F1" w:rsidRDefault="00000000">
      <w:pPr>
        <w:shd w:val="clear" w:color="auto" w:fill="D4AC0D"/>
        <w:jc w:val="center"/>
        <w:rPr>
          <w:lang w:val="fr-FR"/>
        </w:rPr>
      </w:pPr>
      <w:r>
        <w:rPr>
          <w:rFonts w:ascii="Calibri" w:eastAsia="Calibri" w:hAnsi="Calibri" w:cs="Calibri"/>
          <w:b/>
          <w:bCs/>
          <w:color w:val="0B1929"/>
          <w:sz w:val="22"/>
          <w:szCs w:val="22"/>
          <w:lang w:val="fr-FR"/>
        </w:rPr>
        <w:t>ÉTUDE DE RECHERCHE — FÉVRIER 2026</w:t>
      </w:r>
    </w:p>
    <w:p w14:paraId="0B0555F4" w14:textId="77777777" w:rsidR="004A4E46" w:rsidRPr="00EB01F1" w:rsidRDefault="00000000">
      <w:pPr>
        <w:shd w:val="clear" w:color="auto" w:fill="D4AC0D"/>
        <w:rPr>
          <w:lang w:val="fr-FR"/>
        </w:rPr>
      </w:pPr>
      <w:r>
        <w:rPr>
          <w:sz w:val="16"/>
          <w:szCs w:val="16"/>
          <w:lang w:val="fr-FR"/>
        </w:rPr>
        <w:t xml:space="preserve"> </w:t>
      </w:r>
    </w:p>
    <w:p w14:paraId="66BF2411" w14:textId="77777777" w:rsidR="004A4E46" w:rsidRPr="00EB01F1" w:rsidRDefault="004A4E46">
      <w:pPr>
        <w:spacing w:before="600"/>
        <w:rPr>
          <w:lang w:val="fr-FR"/>
        </w:rPr>
      </w:pPr>
    </w:p>
    <w:p w14:paraId="4DD78361" w14:textId="77777777" w:rsidR="004A4E46" w:rsidRPr="00EB01F1" w:rsidRDefault="004A4E46">
      <w:pPr>
        <w:spacing w:before="600"/>
        <w:rPr>
          <w:lang w:val="fr-FR"/>
        </w:rPr>
      </w:pPr>
    </w:p>
    <w:p w14:paraId="5FD80CF5" w14:textId="77777777" w:rsidR="004A4E46" w:rsidRPr="00EB01F1" w:rsidRDefault="00000000">
      <w:pPr>
        <w:spacing w:before="200" w:after="100"/>
        <w:jc w:val="center"/>
        <w:rPr>
          <w:lang w:val="fr-FR"/>
        </w:rPr>
      </w:pPr>
      <w:r>
        <w:rPr>
          <w:rFonts w:ascii="Calibri" w:eastAsia="Calibri" w:hAnsi="Calibri" w:cs="Calibri"/>
          <w:b/>
          <w:bCs/>
          <w:color w:val="0B1929"/>
          <w:sz w:val="72"/>
          <w:szCs w:val="72"/>
          <w:lang w:val="fr-FR"/>
        </w:rPr>
        <w:t>AI FOR AMERICANS FIRST</w:t>
      </w:r>
    </w:p>
    <w:p w14:paraId="7E760258" w14:textId="77777777" w:rsidR="004A4E46" w:rsidRPr="00EB01F1" w:rsidRDefault="004A4E46">
      <w:pPr>
        <w:pBdr>
          <w:bottom w:val="single" w:sz="12" w:space="1" w:color="D4AC0D"/>
        </w:pBdr>
        <w:spacing w:before="200" w:after="200"/>
        <w:ind w:left="2880" w:right="2880"/>
        <w:jc w:val="center"/>
        <w:rPr>
          <w:lang w:val="fr-FR"/>
        </w:rPr>
      </w:pPr>
    </w:p>
    <w:p w14:paraId="1044E707" w14:textId="77777777" w:rsidR="004A4E46" w:rsidRPr="00EB01F1" w:rsidRDefault="00000000">
      <w:pPr>
        <w:spacing w:before="300" w:after="80"/>
        <w:jc w:val="center"/>
        <w:rPr>
          <w:lang w:val="fr-FR"/>
        </w:rPr>
      </w:pPr>
      <w:r>
        <w:rPr>
          <w:rFonts w:ascii="Calibri" w:eastAsia="Calibri" w:hAnsi="Calibri" w:cs="Calibri"/>
          <w:color w:val="0B1929"/>
          <w:sz w:val="30"/>
          <w:szCs w:val="30"/>
          <w:lang w:val="fr-FR"/>
        </w:rPr>
        <w:t>Protectionnisme IA, Énergie et Semi-conducteurs :</w:t>
      </w:r>
    </w:p>
    <w:p w14:paraId="3E5FB12A" w14:textId="77777777" w:rsidR="004A4E46" w:rsidRPr="00EB01F1" w:rsidRDefault="00000000">
      <w:pPr>
        <w:spacing w:before="80" w:after="80"/>
        <w:jc w:val="center"/>
        <w:rPr>
          <w:lang w:val="fr-FR"/>
        </w:rPr>
      </w:pPr>
      <w:r>
        <w:rPr>
          <w:rFonts w:ascii="Calibri" w:eastAsia="Calibri" w:hAnsi="Calibri" w:cs="Calibri"/>
          <w:color w:val="0B1929"/>
          <w:sz w:val="30"/>
          <w:szCs w:val="30"/>
          <w:lang w:val="fr-FR"/>
        </w:rPr>
        <w:t>Trajectoires de Divergence US/Europe 2024–2030</w:t>
      </w:r>
    </w:p>
    <w:p w14:paraId="781C65E1" w14:textId="77777777" w:rsidR="004A4E46" w:rsidRPr="00EB01F1" w:rsidRDefault="00000000">
      <w:pPr>
        <w:spacing w:before="200" w:after="100"/>
        <w:jc w:val="center"/>
        <w:rPr>
          <w:lang w:val="fr-FR"/>
        </w:rPr>
      </w:pPr>
      <w:r>
        <w:rPr>
          <w:rFonts w:ascii="Calibri" w:eastAsia="Calibri" w:hAnsi="Calibri" w:cs="Calibri"/>
          <w:i/>
          <w:iCs/>
          <w:color w:val="2E86C1"/>
          <w:sz w:val="26"/>
          <w:szCs w:val="26"/>
          <w:lang w:val="fr-FR"/>
        </w:rPr>
        <w:t>Analyse Géostratégique et Économique Intégrée</w:t>
      </w:r>
    </w:p>
    <w:p w14:paraId="747D6FD5" w14:textId="77777777" w:rsidR="004A4E46" w:rsidRPr="00EB01F1" w:rsidRDefault="00000000">
      <w:pPr>
        <w:spacing w:before="400"/>
        <w:jc w:val="center"/>
        <w:rPr>
          <w:lang w:val="fr-FR"/>
        </w:rPr>
      </w:pPr>
      <w:r>
        <w:rPr>
          <w:lang w:val="fr-FR"/>
        </w:rPr>
        <w:t>Chapitre  III</w:t>
      </w:r>
    </w:p>
    <w:p w14:paraId="0B382B67" w14:textId="77777777" w:rsidR="004A4E46" w:rsidRPr="00EB01F1" w:rsidRDefault="00000000">
      <w:pPr>
        <w:spacing w:before="400" w:after="80"/>
        <w:jc w:val="center"/>
        <w:rPr>
          <w:lang w:val="fr-FR"/>
        </w:rPr>
      </w:pPr>
      <w:r>
        <w:rPr>
          <w:rFonts w:ascii="Calibri" w:eastAsia="Calibri" w:hAnsi="Calibri" w:cs="Calibri"/>
          <w:b/>
          <w:bCs/>
          <w:color w:val="0B1929"/>
          <w:sz w:val="36"/>
          <w:szCs w:val="36"/>
          <w:lang w:val="fr-FR"/>
        </w:rPr>
        <w:t>Fabrice Pizzi</w:t>
      </w:r>
    </w:p>
    <w:p w14:paraId="04E5CCFD" w14:textId="77777777" w:rsidR="004A4E46" w:rsidRPr="00EB01F1" w:rsidRDefault="00000000">
      <w:pPr>
        <w:spacing w:before="80" w:after="80"/>
        <w:jc w:val="center"/>
        <w:rPr>
          <w:lang w:val="fr-FR"/>
        </w:rPr>
      </w:pPr>
      <w:r>
        <w:rPr>
          <w:rFonts w:ascii="Calibri" w:eastAsia="Calibri" w:hAnsi="Calibri" w:cs="Calibri"/>
          <w:color w:val="2E86C1"/>
          <w:sz w:val="28"/>
          <w:szCs w:val="28"/>
          <w:lang w:val="fr-FR"/>
        </w:rPr>
        <w:t>Université Sorbonne</w:t>
      </w:r>
    </w:p>
    <w:p w14:paraId="7EF5ACB8" w14:textId="77777777" w:rsidR="004A4E46" w:rsidRPr="00EB01F1" w:rsidRDefault="00000000">
      <w:pPr>
        <w:spacing w:before="80" w:after="80"/>
        <w:jc w:val="center"/>
        <w:rPr>
          <w:lang w:val="fr-FR"/>
        </w:rPr>
      </w:pPr>
      <w:r>
        <w:rPr>
          <w:rFonts w:ascii="Calibri" w:eastAsia="Calibri" w:hAnsi="Calibri" w:cs="Calibri"/>
          <w:i/>
          <w:iCs/>
          <w:color w:val="6B7B8D"/>
          <w:sz w:val="24"/>
          <w:szCs w:val="24"/>
          <w:lang w:val="fr-FR"/>
        </w:rPr>
        <w:t>Master Intelligence Économique — Intelligence Warfare</w:t>
      </w:r>
    </w:p>
    <w:p w14:paraId="473575CB" w14:textId="77777777" w:rsidR="00EB01F1" w:rsidRPr="00BF1FE9" w:rsidRDefault="00EB01F1" w:rsidP="00EB01F1">
      <w:pPr>
        <w:spacing w:before="400"/>
        <w:jc w:val="both"/>
        <w:rPr>
          <w:sz w:val="4"/>
          <w:szCs w:val="4"/>
          <w:lang w:val="fr-FR"/>
        </w:rPr>
      </w:pPr>
    </w:p>
    <w:p w14:paraId="68F4D9C4" w14:textId="77777777" w:rsidR="00EB01F1" w:rsidRPr="00BF1FE9" w:rsidRDefault="00EB01F1" w:rsidP="00EB01F1">
      <w:pPr>
        <w:shd w:val="clear" w:color="auto" w:fill="F0F3F6"/>
        <w:spacing w:before="200" w:after="120"/>
        <w:ind w:left="1440" w:right="1440"/>
        <w:jc w:val="both"/>
        <w:rPr>
          <w:lang w:val="fr-FR"/>
        </w:rPr>
      </w:pPr>
      <w:r>
        <w:rPr>
          <w:sz w:val="16"/>
          <w:szCs w:val="16"/>
          <w:lang w:val="fr-FR"/>
        </w:rPr>
        <w:t xml:space="preserve"> </w:t>
      </w:r>
    </w:p>
    <w:p w14:paraId="1453190F" w14:textId="77777777" w:rsidR="00EB01F1" w:rsidRPr="00476CC8" w:rsidRDefault="00EB01F1" w:rsidP="00EB01F1">
      <w:pPr>
        <w:shd w:val="clear" w:color="auto" w:fill="F0F3F6"/>
        <w:ind w:left="1440" w:right="1440"/>
        <w:jc w:val="both"/>
        <w:rPr>
          <w:lang w:val="fr-FR"/>
        </w:rPr>
      </w:pPr>
      <w:r>
        <w:rPr>
          <w:rFonts w:ascii="Calibri" w:eastAsia="Calibri" w:hAnsi="Calibri" w:cs="Calibri"/>
          <w:b/>
          <w:bCs/>
          <w:color w:val="C0392B"/>
          <w:sz w:val="36"/>
          <w:szCs w:val="36"/>
          <w:lang w:val="fr-FR"/>
        </w:rPr>
        <w:t>77%</w:t>
      </w:r>
      <w:r>
        <w:rPr>
          <w:rFonts w:ascii="Calibri" w:eastAsia="Calibri" w:hAnsi="Calibri" w:cs="Calibri"/>
          <w:color w:val="6B7B8D"/>
          <w:sz w:val="20"/>
          <w:szCs w:val="20"/>
          <w:lang w:val="fr-FR"/>
        </w:rPr>
        <w:t xml:space="preserve"> compute IA mondial = USA     </w:t>
      </w:r>
      <w:r>
        <w:rPr>
          <w:rFonts w:ascii="Calibri" w:eastAsia="Calibri" w:hAnsi="Calibri" w:cs="Calibri"/>
          <w:b/>
          <w:bCs/>
          <w:color w:val="C0392B"/>
          <w:sz w:val="36"/>
          <w:szCs w:val="36"/>
          <w:lang w:val="fr-FR"/>
        </w:rPr>
        <w:t>1.6×</w:t>
      </w:r>
      <w:r>
        <w:rPr>
          <w:rFonts w:ascii="Calibri" w:eastAsia="Calibri" w:hAnsi="Calibri" w:cs="Calibri"/>
          <w:color w:val="6B7B8D"/>
          <w:sz w:val="20"/>
          <w:szCs w:val="20"/>
          <w:lang w:val="fr-FR"/>
        </w:rPr>
        <w:t xml:space="preserve"> coût énergie EU/US     </w:t>
      </w:r>
      <w:r>
        <w:rPr>
          <w:rFonts w:ascii="Calibri" w:eastAsia="Calibri" w:hAnsi="Calibri" w:cs="Calibri"/>
          <w:b/>
          <w:bCs/>
          <w:color w:val="2E86C1"/>
          <w:sz w:val="36"/>
          <w:szCs w:val="36"/>
          <w:lang w:val="fr-FR"/>
        </w:rPr>
        <w:t>3.4:1</w:t>
      </w:r>
      <w:r>
        <w:rPr>
          <w:rFonts w:ascii="Calibri" w:eastAsia="Calibri" w:hAnsi="Calibri" w:cs="Calibri"/>
          <w:color w:val="6B7B8D"/>
          <w:sz w:val="20"/>
          <w:szCs w:val="20"/>
          <w:lang w:val="fr-FR"/>
        </w:rPr>
        <w:t xml:space="preserve"> ratio CACI US/EU (mode Power)</w:t>
      </w:r>
    </w:p>
    <w:p w14:paraId="52F51AA8" w14:textId="77777777" w:rsidR="00EB01F1" w:rsidRPr="00476CC8" w:rsidRDefault="00EB01F1" w:rsidP="00EB01F1">
      <w:pPr>
        <w:shd w:val="clear" w:color="auto" w:fill="F0F3F6"/>
        <w:spacing w:after="120"/>
        <w:ind w:left="1440" w:right="1440"/>
        <w:jc w:val="both"/>
        <w:rPr>
          <w:lang w:val="fr-FR"/>
        </w:rPr>
      </w:pPr>
      <w:r>
        <w:rPr>
          <w:sz w:val="16"/>
          <w:szCs w:val="16"/>
          <w:lang w:val="fr-FR"/>
        </w:rPr>
        <w:t xml:space="preserve"> </w:t>
      </w:r>
    </w:p>
    <w:p w14:paraId="200C8071" w14:textId="77777777" w:rsidR="00EB01F1" w:rsidRPr="00BF1FE9" w:rsidRDefault="00EB01F1" w:rsidP="00EB01F1">
      <w:pPr>
        <w:spacing w:before="400"/>
        <w:jc w:val="both"/>
        <w:rPr>
          <w:lang w:val="pt-BR"/>
        </w:rPr>
      </w:pPr>
    </w:p>
    <w:p w14:paraId="53F66AF4" w14:textId="77777777" w:rsidR="00EB01F1" w:rsidRDefault="00EB01F1">
      <w:pPr>
        <w:spacing w:before="200" w:after="80"/>
        <w:jc w:val="center"/>
        <w:rPr>
          <w:sz w:val="4"/>
          <w:szCs w:val="4"/>
          <w:lang w:val="fr-FR"/>
        </w:rPr>
      </w:pPr>
    </w:p>
    <w:p w14:paraId="32CF902E" w14:textId="2F720788" w:rsidR="004A4E46" w:rsidRPr="00EB01F1" w:rsidRDefault="00EB01F1">
      <w:pPr>
        <w:spacing w:before="200" w:after="80"/>
        <w:jc w:val="center"/>
        <w:rPr>
          <w:lang w:val="fr-FR"/>
        </w:rPr>
      </w:pPr>
      <w:r>
        <w:rPr>
          <w:sz w:val="4"/>
          <w:szCs w:val="4"/>
          <w:lang w:val="fr-FR"/>
        </w:rPr>
        <w:t>*</w:t>
      </w:r>
      <w:r>
        <w:rPr>
          <w:rFonts w:ascii="Calibri" w:eastAsia="Calibri" w:hAnsi="Calibri" w:cs="Calibri"/>
          <w:color w:val="6B7B8D"/>
          <w:sz w:val="22"/>
          <w:szCs w:val="22"/>
          <w:lang w:val="fr-FR"/>
        </w:rPr>
        <w:t>Paris — Février 2026</w:t>
      </w:r>
    </w:p>
    <w:p w14:paraId="5FDB0A6D" w14:textId="77777777" w:rsidR="004A4E46" w:rsidRPr="00EB01F1" w:rsidRDefault="00000000">
      <w:pPr>
        <w:spacing w:before="80" w:after="80"/>
        <w:jc w:val="center"/>
        <w:rPr>
          <w:lang w:val="fr-FR"/>
        </w:rPr>
      </w:pPr>
      <w:r>
        <w:rPr>
          <w:rFonts w:ascii="Calibri" w:eastAsia="Calibri" w:hAnsi="Calibri" w:cs="Calibri"/>
          <w:i/>
          <w:iCs/>
          <w:color w:val="6B7B8D"/>
          <w:sz w:val="20"/>
          <w:szCs w:val="20"/>
          <w:lang w:val="fr-FR"/>
        </w:rPr>
        <w:t>7 chapitres  •  4 scénarios prospectifs  •  3 zones géographiques</w:t>
      </w:r>
    </w:p>
    <w:p w14:paraId="712BF001" w14:textId="77777777" w:rsidR="004A4E46" w:rsidRPr="00EB01F1" w:rsidRDefault="004A4E46">
      <w:pPr>
        <w:spacing w:before="200"/>
        <w:rPr>
          <w:lang w:val="fr-FR"/>
        </w:rPr>
      </w:pPr>
    </w:p>
    <w:p w14:paraId="3DA35298" w14:textId="77777777" w:rsidR="004A4E46" w:rsidRPr="00EB01F1" w:rsidRDefault="00000000">
      <w:pPr>
        <w:spacing w:before="100" w:after="80"/>
        <w:ind w:left="1440" w:right="1440"/>
        <w:jc w:val="center"/>
        <w:rPr>
          <w:lang w:val="fr-FR"/>
        </w:rPr>
      </w:pPr>
      <w:r>
        <w:rPr>
          <w:rFonts w:ascii="Calibri" w:eastAsia="Calibri" w:hAnsi="Calibri" w:cs="Calibri"/>
          <w:b/>
          <w:bCs/>
          <w:color w:val="6B7B8D"/>
          <w:sz w:val="18"/>
          <w:szCs w:val="18"/>
          <w:lang w:val="fr-FR"/>
        </w:rPr>
        <w:t xml:space="preserve">Mots-clés : </w:t>
      </w:r>
      <w:r>
        <w:rPr>
          <w:rFonts w:ascii="Calibri" w:eastAsia="Calibri" w:hAnsi="Calibri" w:cs="Calibri"/>
          <w:i/>
          <w:iCs/>
          <w:color w:val="6B7B8D"/>
          <w:sz w:val="18"/>
          <w:szCs w:val="18"/>
          <w:lang w:val="fr-FR"/>
        </w:rPr>
        <w:t>intelligence artificielle, protectionnisme technologique, semi-conducteurs, export controls, compute souverain, géopolitique de l'IA, France, États-Unis, Chine</w:t>
      </w:r>
    </w:p>
    <w:p w14:paraId="3DA4715A" w14:textId="77777777" w:rsidR="004A4E46" w:rsidRPr="00EB01F1" w:rsidRDefault="004A4E46">
      <w:pPr>
        <w:spacing w:before="400"/>
        <w:rPr>
          <w:lang w:val="fr-FR"/>
        </w:rPr>
      </w:pPr>
    </w:p>
    <w:p w14:paraId="689D6541" w14:textId="77777777" w:rsidR="004A4E46" w:rsidRPr="00EB01F1" w:rsidRDefault="00000000">
      <w:pPr>
        <w:shd w:val="clear" w:color="auto" w:fill="D4AC0D"/>
        <w:rPr>
          <w:lang w:val="fr-FR"/>
        </w:rPr>
        <w:sectPr w:rsidR="004A4E46" w:rsidRPr="00EB01F1">
          <w:pgSz w:w="11906" w:h="16838"/>
          <w:pgMar w:top="1134" w:right="1134" w:bottom="1134" w:left="1134" w:header="0" w:footer="0" w:gutter="0"/>
          <w:cols w:space="720"/>
          <w:formProt w:val="0"/>
        </w:sectPr>
      </w:pPr>
      <w:r>
        <w:rPr>
          <w:sz w:val="28"/>
          <w:szCs w:val="28"/>
          <w:lang w:val="fr-FR"/>
        </w:rPr>
        <w:t xml:space="preserve"> </w:t>
      </w:r>
    </w:p>
    <w:bookmarkEnd w:id="0"/>
    <w:p w14:paraId="79426D77" w14:textId="77777777" w:rsidR="004A4E46" w:rsidRPr="00EB01F1" w:rsidRDefault="004A4E46">
      <w:pPr>
        <w:spacing w:after="80"/>
        <w:rPr>
          <w:b/>
          <w:bCs/>
          <w:color w:val="2E75B6"/>
          <w:sz w:val="20"/>
          <w:szCs w:val="20"/>
          <w:lang w:val="fr-FR"/>
        </w:rPr>
      </w:pPr>
    </w:p>
    <w:p w14:paraId="046E5BEE" w14:textId="77777777" w:rsidR="004A4E46" w:rsidRPr="00EB01F1" w:rsidRDefault="00000000">
      <w:pPr>
        <w:spacing w:after="80"/>
        <w:rPr>
          <w:b/>
          <w:bCs/>
          <w:color w:val="2E75B6"/>
          <w:sz w:val="20"/>
          <w:szCs w:val="20"/>
          <w:lang w:val="fr-FR"/>
        </w:rPr>
      </w:pPr>
      <w:r>
        <w:rPr>
          <w:b/>
          <w:bCs/>
          <w:color w:val="2E75B6"/>
          <w:sz w:val="20"/>
          <w:szCs w:val="20"/>
          <w:lang w:val="fr-FR"/>
        </w:rPr>
        <w:t>CHAPITRE III</w:t>
      </w:r>
    </w:p>
    <w:p w14:paraId="18C969F1" w14:textId="77777777" w:rsidR="004A4E46" w:rsidRPr="00EB01F1" w:rsidRDefault="00000000">
      <w:pPr>
        <w:pStyle w:val="Titre1"/>
        <w:rPr>
          <w:lang w:val="fr-FR"/>
        </w:rPr>
      </w:pPr>
      <w:r>
        <w:rPr>
          <w:lang w:val="fr-FR"/>
        </w:rPr>
        <w:t>Diagnostic empirique 2020–2026</w:t>
      </w:r>
    </w:p>
    <w:p w14:paraId="01F20A09" w14:textId="77777777" w:rsidR="004A4E46" w:rsidRPr="00EB01F1" w:rsidRDefault="004A4E46">
      <w:pPr>
        <w:pBdr>
          <w:bottom w:val="single" w:sz="4" w:space="12" w:color="2E75B6"/>
        </w:pBdr>
        <w:spacing w:after="360"/>
        <w:rPr>
          <w:lang w:val="fr-FR"/>
        </w:rPr>
      </w:pPr>
    </w:p>
    <w:p w14:paraId="3D77B9AF" w14:textId="77777777" w:rsidR="004A4E46" w:rsidRPr="00EB01F1" w:rsidRDefault="00000000">
      <w:pPr>
        <w:spacing w:after="160" w:line="312" w:lineRule="auto"/>
        <w:jc w:val="both"/>
        <w:rPr>
          <w:lang w:val="fr-FR"/>
        </w:rPr>
      </w:pPr>
      <w:r>
        <w:rPr>
          <w:color w:val="333333"/>
          <w:lang w:val="fr-FR"/>
        </w:rPr>
        <w:t>Ce chapitre établit le socle factuel de l’analyse. Il couvre quatre dimensions interdépendantes : la trajectoire énergétique des data centers, l’évolution du marché des semi-conducteurs, la répartition géographique du compute IA installé, et la chronologie des mesures réglementaires américaines. Les données présentées ici constituent les « éléments prédéterminés » (au sens de Schwartz) qui structurent les scénarios prospectifs du Chapitre V. Toutes les séries temporelles sont sourcées et, lorsque les données divergent entre sources, l’écart est explicité.</w:t>
      </w:r>
    </w:p>
    <w:p w14:paraId="351B542E" w14:textId="77777777" w:rsidR="004A4E46" w:rsidRPr="00EB01F1" w:rsidRDefault="00000000">
      <w:pPr>
        <w:pStyle w:val="Titre2"/>
        <w:rPr>
          <w:lang w:val="fr-FR"/>
        </w:rPr>
      </w:pPr>
      <w:r>
        <w:rPr>
          <w:lang w:val="fr-FR"/>
        </w:rPr>
        <w:t>3.1 Trajectoire énergétique des data centers : une demande qui double en six ans</w:t>
      </w:r>
    </w:p>
    <w:p w14:paraId="74793EE0" w14:textId="77777777" w:rsidR="004A4E46" w:rsidRPr="00EB01F1" w:rsidRDefault="00000000">
      <w:pPr>
        <w:pStyle w:val="Titre3"/>
        <w:rPr>
          <w:lang w:val="fr-FR"/>
        </w:rPr>
      </w:pPr>
      <w:r>
        <w:rPr>
          <w:lang w:val="fr-FR"/>
        </w:rPr>
        <w:t>3.1.1 Consommation mondiale 2020–2024</w:t>
      </w:r>
    </w:p>
    <w:p w14:paraId="6A6E133B" w14:textId="77777777" w:rsidR="004A4E46" w:rsidRPr="00EB01F1" w:rsidRDefault="00000000">
      <w:pPr>
        <w:spacing w:after="160" w:line="312" w:lineRule="auto"/>
        <w:jc w:val="both"/>
        <w:rPr>
          <w:lang w:val="fr-FR"/>
        </w:rPr>
      </w:pPr>
      <w:r>
        <w:rPr>
          <w:color w:val="333333"/>
          <w:lang w:val="fr-FR"/>
        </w:rPr>
        <w:t xml:space="preserve">L’Agence internationale de l’énergie (IEA, avril 2025) estime la consommation électrique mondiale des data centers à environ </w:t>
      </w:r>
      <w:r>
        <w:rPr>
          <w:b/>
          <w:bCs/>
          <w:color w:val="333333"/>
          <w:lang w:val="fr-FR"/>
        </w:rPr>
        <w:t>415 TWh en 2024</w:t>
      </w:r>
      <w:r>
        <w:rPr>
          <w:color w:val="333333"/>
          <w:lang w:val="fr-FR"/>
        </w:rPr>
        <w:t>, soit 1,5 % de la consommation électrique mondiale.</w:t>
      </w:r>
      <w:r>
        <w:rPr>
          <w:color w:val="2E75B6"/>
          <w:sz w:val="18"/>
          <w:szCs w:val="18"/>
          <w:vertAlign w:val="superscript"/>
          <w:lang w:val="fr-FR"/>
        </w:rPr>
        <w:t>1</w:t>
      </w:r>
      <w:r>
        <w:rPr>
          <w:color w:val="333333"/>
          <w:lang w:val="fr-FR"/>
        </w:rPr>
        <w:t xml:space="preserve"> Cette consommation a crû de 12 % par an en moyenne depuis 2017, un rythme quatre fois supérieur à celui de la consommation électrique totale. En 2020, elle était d’environ 270 TWh ; la progression représente donc +54 % en quatre ans.</w:t>
      </w:r>
    </w:p>
    <w:p w14:paraId="1BE4A204" w14:textId="77777777" w:rsidR="004A4E46" w:rsidRPr="00EB01F1" w:rsidRDefault="00000000">
      <w:pPr>
        <w:spacing w:after="160" w:line="312" w:lineRule="auto"/>
        <w:ind w:firstLine="360"/>
        <w:jc w:val="both"/>
        <w:rPr>
          <w:lang w:val="fr-FR"/>
        </w:rPr>
      </w:pPr>
      <w:r>
        <w:rPr>
          <w:color w:val="333333"/>
          <w:lang w:val="fr-FR"/>
        </w:rPr>
        <w:t>La répartition géographique est fortement concentrée. Les États-Unis absorbent 45 % de la consommation mondiale des data centers (environ 180 TWh en 2024), suivis de la Chine (25 %, ~102 TWh) et de l’Europe (15 %, ~70 TWh pour l’UE selon la Commission européenne).</w:t>
      </w:r>
      <w:r>
        <w:rPr>
          <w:color w:val="2E75B6"/>
          <w:sz w:val="18"/>
          <w:szCs w:val="18"/>
          <w:vertAlign w:val="superscript"/>
          <w:lang w:val="fr-FR"/>
        </w:rPr>
        <w:t>2</w:t>
      </w:r>
      <w:r>
        <w:rPr>
          <w:color w:val="333333"/>
          <w:lang w:val="fr-FR"/>
        </w:rPr>
        <w:t xml:space="preserve"> Les quatre principaux pays européens (Allemagne, France, Royaume-Uni, Pays-Bas) totalisent environ 41 TWh, soit 10 % du total mondial. La capacité totale installée mondiale des data centers a atteint près de </w:t>
      </w:r>
      <w:r>
        <w:rPr>
          <w:b/>
          <w:bCs/>
          <w:color w:val="333333"/>
          <w:lang w:val="fr-FR"/>
        </w:rPr>
        <w:t>100 GW</w:t>
      </w:r>
      <w:r>
        <w:rPr>
          <w:color w:val="333333"/>
          <w:lang w:val="fr-FR"/>
        </w:rPr>
        <w:t xml:space="preserve"> en 2024. Près de la moitié de la capacité américaine est concentrée dans cinq clusters régionaux seulement.</w:t>
      </w:r>
    </w:p>
    <w:p w14:paraId="2D28364A" w14:textId="77777777" w:rsidR="004A4E46" w:rsidRPr="00EB01F1" w:rsidRDefault="00000000">
      <w:pPr>
        <w:pStyle w:val="Titre3"/>
        <w:rPr>
          <w:lang w:val="fr-FR"/>
        </w:rPr>
      </w:pPr>
      <w:r>
        <w:rPr>
          <w:lang w:val="fr-FR"/>
        </w:rPr>
        <w:t>3.1.2 Projections 2024–2030 : le scénario central IEA</w:t>
      </w:r>
    </w:p>
    <w:p w14:paraId="7AB78F9E" w14:textId="77777777" w:rsidR="004A4E46" w:rsidRPr="00EB01F1" w:rsidRDefault="00000000">
      <w:pPr>
        <w:spacing w:after="160" w:line="312" w:lineRule="auto"/>
        <w:jc w:val="both"/>
        <w:rPr>
          <w:lang w:val="fr-FR"/>
        </w:rPr>
      </w:pPr>
      <w:r>
        <w:rPr>
          <w:color w:val="333333"/>
          <w:lang w:val="fr-FR"/>
        </w:rPr>
        <w:t xml:space="preserve">Le scénario central (« Base Case ») de l’IEA projette une consommation mondiale de </w:t>
      </w:r>
      <w:r>
        <w:rPr>
          <w:b/>
          <w:bCs/>
          <w:color w:val="333333"/>
          <w:lang w:val="fr-FR"/>
        </w:rPr>
        <w:t>945 TWh en 2030</w:t>
      </w:r>
      <w:r>
        <w:rPr>
          <w:color w:val="333333"/>
          <w:lang w:val="fr-FR"/>
        </w:rPr>
        <w:t xml:space="preserve">, soit un doublement par rapport à 2024 et l’équivalent de la consommation électrique actuelle du Japon. L’IA est identifiée comme </w:t>
      </w:r>
      <w:r>
        <w:rPr>
          <w:i/>
          <w:iCs/>
          <w:color w:val="333333"/>
          <w:lang w:val="fr-FR"/>
        </w:rPr>
        <w:t>« le moteur le plus important de cette croissance »</w:t>
      </w:r>
      <w:r>
        <w:rPr>
          <w:color w:val="333333"/>
          <w:lang w:val="fr-FR"/>
        </w:rPr>
        <w:t xml:space="preserve">. La part de l’IA dans la consommation des data centers, estimée à 5–15 % ces dernières années, pourrait atteindre </w:t>
      </w:r>
      <w:r>
        <w:rPr>
          <w:b/>
          <w:bCs/>
          <w:color w:val="333333"/>
          <w:lang w:val="fr-FR"/>
        </w:rPr>
        <w:t>35–50 % en 2030</w:t>
      </w:r>
      <w:r>
        <w:rPr>
          <w:color w:val="333333"/>
          <w:lang w:val="fr-FR"/>
        </w:rPr>
        <w:t>.</w:t>
      </w:r>
      <w:r>
        <w:rPr>
          <w:color w:val="2E75B6"/>
          <w:sz w:val="18"/>
          <w:szCs w:val="18"/>
          <w:vertAlign w:val="superscript"/>
          <w:lang w:val="fr-FR"/>
        </w:rPr>
        <w:t>3</w:t>
      </w:r>
    </w:p>
    <w:p w14:paraId="6F0D9F53" w14:textId="77777777" w:rsidR="004A4E46" w:rsidRPr="00EB01F1" w:rsidRDefault="00000000">
      <w:pPr>
        <w:spacing w:after="160" w:line="312" w:lineRule="auto"/>
        <w:ind w:firstLine="360"/>
        <w:jc w:val="both"/>
        <w:rPr>
          <w:lang w:val="fr-FR"/>
        </w:rPr>
      </w:pPr>
      <w:r>
        <w:rPr>
          <w:color w:val="333333"/>
          <w:lang w:val="fr-FR"/>
        </w:rPr>
        <w:lastRenderedPageBreak/>
        <w:t>La croissance est géographiquement inégale. Les États-Unis ajoutent environ +240 TWh (+130 % par rapport à 2024), la Chine +175 TWh (+170 %), et l’Europe seulement +45 TWh (+70 %). L’IEA note un risque de 20 % de retard de projets en Europe, lié aux contraintes de raccordement au réseau et aux délais d’autorisation.</w:t>
      </w:r>
      <w:r>
        <w:rPr>
          <w:color w:val="2E75B6"/>
          <w:sz w:val="18"/>
          <w:szCs w:val="18"/>
          <w:vertAlign w:val="superscript"/>
          <w:lang w:val="fr-FR"/>
        </w:rPr>
        <w:t>4</w:t>
      </w:r>
      <w:r>
        <w:rPr>
          <w:color w:val="333333"/>
          <w:lang w:val="fr-FR"/>
        </w:rPr>
        <w:t xml:space="preserve"> Aux États-Unis, les data centers représenteront près de la moitié de la croissance de la demande électrique d’ici 2030 ; le pays consommera plus d’électricité pour ses data centers que pour la production d’aluminium, d’acier, de ciment et de produits chimiques réunis.</w:t>
      </w:r>
    </w:p>
    <w:p w14:paraId="78A627F6" w14:textId="77777777" w:rsidR="004A4E46" w:rsidRPr="00EB01F1" w:rsidRDefault="004A4E46">
      <w:pPr>
        <w:spacing w:after="80"/>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1699"/>
        <w:gridCol w:w="1201"/>
        <w:gridCol w:w="1199"/>
        <w:gridCol w:w="1401"/>
        <w:gridCol w:w="1199"/>
        <w:gridCol w:w="2127"/>
      </w:tblGrid>
      <w:tr w:rsidR="004A4E46" w14:paraId="7C17CF9E" w14:textId="77777777">
        <w:tc>
          <w:tcPr>
            <w:tcW w:w="1699" w:type="dxa"/>
            <w:tcBorders>
              <w:top w:val="single" w:sz="2" w:space="0" w:color="CCCCCC"/>
              <w:left w:val="single" w:sz="2" w:space="0" w:color="CCCCCC"/>
              <w:bottom w:val="single" w:sz="2" w:space="0" w:color="CCCCCC"/>
              <w:right w:val="single" w:sz="2" w:space="0" w:color="CCCCCC"/>
            </w:tcBorders>
            <w:shd w:val="clear" w:color="auto" w:fill="1B3A5C"/>
          </w:tcPr>
          <w:p w14:paraId="19580F77" w14:textId="77777777" w:rsidR="004A4E46" w:rsidRDefault="00000000">
            <w:r>
              <w:rPr>
                <w:b/>
                <w:bCs/>
                <w:color w:val="FFFFFF"/>
                <w:sz w:val="20"/>
                <w:szCs w:val="20"/>
              </w:rPr>
              <w:t>Région</w:t>
            </w:r>
          </w:p>
        </w:tc>
        <w:tc>
          <w:tcPr>
            <w:tcW w:w="1201" w:type="dxa"/>
            <w:tcBorders>
              <w:top w:val="single" w:sz="2" w:space="0" w:color="CCCCCC"/>
              <w:left w:val="single" w:sz="2" w:space="0" w:color="CCCCCC"/>
              <w:bottom w:val="single" w:sz="2" w:space="0" w:color="CCCCCC"/>
              <w:right w:val="single" w:sz="2" w:space="0" w:color="CCCCCC"/>
            </w:tcBorders>
            <w:shd w:val="clear" w:color="auto" w:fill="1B3A5C"/>
          </w:tcPr>
          <w:p w14:paraId="62560EE3" w14:textId="77777777" w:rsidR="004A4E46" w:rsidRDefault="00000000">
            <w:r>
              <w:rPr>
                <w:b/>
                <w:bCs/>
                <w:color w:val="FFFFFF"/>
                <w:sz w:val="20"/>
                <w:szCs w:val="20"/>
              </w:rPr>
              <w:t>2020</w:t>
            </w:r>
          </w:p>
        </w:tc>
        <w:tc>
          <w:tcPr>
            <w:tcW w:w="1199" w:type="dxa"/>
            <w:tcBorders>
              <w:top w:val="single" w:sz="2" w:space="0" w:color="CCCCCC"/>
              <w:left w:val="single" w:sz="2" w:space="0" w:color="CCCCCC"/>
              <w:bottom w:val="single" w:sz="2" w:space="0" w:color="CCCCCC"/>
              <w:right w:val="single" w:sz="2" w:space="0" w:color="CCCCCC"/>
            </w:tcBorders>
            <w:shd w:val="clear" w:color="auto" w:fill="1B3A5C"/>
          </w:tcPr>
          <w:p w14:paraId="1A85FF52" w14:textId="77777777" w:rsidR="004A4E46" w:rsidRDefault="00000000">
            <w:r>
              <w:rPr>
                <w:b/>
                <w:bCs/>
                <w:color w:val="FFFFFF"/>
                <w:sz w:val="20"/>
                <w:szCs w:val="20"/>
              </w:rPr>
              <w:t>2024</w:t>
            </w:r>
          </w:p>
        </w:tc>
        <w:tc>
          <w:tcPr>
            <w:tcW w:w="1401" w:type="dxa"/>
            <w:tcBorders>
              <w:top w:val="single" w:sz="2" w:space="0" w:color="CCCCCC"/>
              <w:left w:val="single" w:sz="2" w:space="0" w:color="CCCCCC"/>
              <w:bottom w:val="single" w:sz="2" w:space="0" w:color="CCCCCC"/>
              <w:right w:val="single" w:sz="2" w:space="0" w:color="CCCCCC"/>
            </w:tcBorders>
            <w:shd w:val="clear" w:color="auto" w:fill="1B3A5C"/>
          </w:tcPr>
          <w:p w14:paraId="21A0B300" w14:textId="77777777" w:rsidR="004A4E46" w:rsidRDefault="00000000">
            <w:r>
              <w:rPr>
                <w:b/>
                <w:bCs/>
                <w:color w:val="FFFFFF"/>
                <w:sz w:val="20"/>
                <w:szCs w:val="20"/>
              </w:rPr>
              <w:t>2030 (IEA)</w:t>
            </w:r>
          </w:p>
        </w:tc>
        <w:tc>
          <w:tcPr>
            <w:tcW w:w="1199" w:type="dxa"/>
            <w:tcBorders>
              <w:top w:val="single" w:sz="2" w:space="0" w:color="CCCCCC"/>
              <w:left w:val="single" w:sz="2" w:space="0" w:color="CCCCCC"/>
              <w:bottom w:val="single" w:sz="2" w:space="0" w:color="CCCCCC"/>
              <w:right w:val="single" w:sz="2" w:space="0" w:color="CCCCCC"/>
            </w:tcBorders>
            <w:shd w:val="clear" w:color="auto" w:fill="1B3A5C"/>
          </w:tcPr>
          <w:p w14:paraId="2CFFC20C" w14:textId="77777777" w:rsidR="004A4E46" w:rsidRDefault="00000000">
            <w:r>
              <w:rPr>
                <w:b/>
                <w:bCs/>
                <w:color w:val="FFFFFF"/>
                <w:sz w:val="20"/>
                <w:szCs w:val="20"/>
              </w:rPr>
              <w:t>Δ 24–30</w:t>
            </w:r>
          </w:p>
        </w:tc>
        <w:tc>
          <w:tcPr>
            <w:tcW w:w="2127" w:type="dxa"/>
            <w:tcBorders>
              <w:top w:val="single" w:sz="2" w:space="0" w:color="CCCCCC"/>
              <w:left w:val="single" w:sz="2" w:space="0" w:color="CCCCCC"/>
              <w:bottom w:val="single" w:sz="2" w:space="0" w:color="CCCCCC"/>
              <w:right w:val="single" w:sz="2" w:space="0" w:color="CCCCCC"/>
            </w:tcBorders>
            <w:shd w:val="clear" w:color="auto" w:fill="1B3A5C"/>
          </w:tcPr>
          <w:p w14:paraId="6AC3FEEE" w14:textId="77777777" w:rsidR="004A4E46" w:rsidRDefault="00000000">
            <w:r>
              <w:rPr>
                <w:b/>
                <w:bCs/>
                <w:color w:val="FFFFFF"/>
                <w:sz w:val="20"/>
                <w:szCs w:val="20"/>
              </w:rPr>
              <w:t>Part mondiale 2024</w:t>
            </w:r>
          </w:p>
        </w:tc>
      </w:tr>
      <w:tr w:rsidR="004A4E46" w14:paraId="749680E8" w14:textId="77777777">
        <w:tc>
          <w:tcPr>
            <w:tcW w:w="1699" w:type="dxa"/>
            <w:tcBorders>
              <w:top w:val="single" w:sz="2" w:space="0" w:color="CCCCCC"/>
              <w:left w:val="single" w:sz="2" w:space="0" w:color="CCCCCC"/>
              <w:bottom w:val="single" w:sz="2" w:space="0" w:color="CCCCCC"/>
              <w:right w:val="single" w:sz="2" w:space="0" w:color="CCCCCC"/>
            </w:tcBorders>
          </w:tcPr>
          <w:p w14:paraId="3884D477" w14:textId="77777777" w:rsidR="004A4E46" w:rsidRDefault="00000000">
            <w:pPr>
              <w:spacing w:after="40" w:line="276" w:lineRule="auto"/>
            </w:pPr>
            <w:r>
              <w:rPr>
                <w:b/>
                <w:bCs/>
                <w:color w:val="333333"/>
                <w:sz w:val="20"/>
                <w:szCs w:val="20"/>
              </w:rPr>
              <w:t>États-Unis</w:t>
            </w:r>
          </w:p>
        </w:tc>
        <w:tc>
          <w:tcPr>
            <w:tcW w:w="1201" w:type="dxa"/>
            <w:tcBorders>
              <w:top w:val="single" w:sz="2" w:space="0" w:color="CCCCCC"/>
              <w:left w:val="single" w:sz="2" w:space="0" w:color="CCCCCC"/>
              <w:bottom w:val="single" w:sz="2" w:space="0" w:color="CCCCCC"/>
              <w:right w:val="single" w:sz="2" w:space="0" w:color="CCCCCC"/>
            </w:tcBorders>
          </w:tcPr>
          <w:p w14:paraId="5AD79AA4" w14:textId="77777777" w:rsidR="004A4E46" w:rsidRDefault="00000000">
            <w:pPr>
              <w:spacing w:after="40" w:line="276" w:lineRule="auto"/>
            </w:pPr>
            <w:r>
              <w:rPr>
                <w:color w:val="333333"/>
                <w:sz w:val="20"/>
                <w:szCs w:val="20"/>
              </w:rPr>
              <w:t>~120 TWh</w:t>
            </w:r>
          </w:p>
        </w:tc>
        <w:tc>
          <w:tcPr>
            <w:tcW w:w="1199" w:type="dxa"/>
            <w:tcBorders>
              <w:top w:val="single" w:sz="2" w:space="0" w:color="CCCCCC"/>
              <w:left w:val="single" w:sz="2" w:space="0" w:color="CCCCCC"/>
              <w:bottom w:val="single" w:sz="2" w:space="0" w:color="CCCCCC"/>
              <w:right w:val="single" w:sz="2" w:space="0" w:color="CCCCCC"/>
            </w:tcBorders>
          </w:tcPr>
          <w:p w14:paraId="1C547560" w14:textId="77777777" w:rsidR="004A4E46" w:rsidRDefault="00000000">
            <w:pPr>
              <w:spacing w:after="40" w:line="276" w:lineRule="auto"/>
            </w:pPr>
            <w:r>
              <w:rPr>
                <w:color w:val="333333"/>
                <w:sz w:val="20"/>
                <w:szCs w:val="20"/>
              </w:rPr>
              <w:t>~180 TWh</w:t>
            </w:r>
          </w:p>
        </w:tc>
        <w:tc>
          <w:tcPr>
            <w:tcW w:w="1401" w:type="dxa"/>
            <w:tcBorders>
              <w:top w:val="single" w:sz="2" w:space="0" w:color="CCCCCC"/>
              <w:left w:val="single" w:sz="2" w:space="0" w:color="CCCCCC"/>
              <w:bottom w:val="single" w:sz="2" w:space="0" w:color="CCCCCC"/>
              <w:right w:val="single" w:sz="2" w:space="0" w:color="CCCCCC"/>
            </w:tcBorders>
          </w:tcPr>
          <w:p w14:paraId="6F2797A6" w14:textId="77777777" w:rsidR="004A4E46" w:rsidRDefault="00000000">
            <w:pPr>
              <w:spacing w:after="40" w:line="276" w:lineRule="auto"/>
            </w:pPr>
            <w:r>
              <w:rPr>
                <w:color w:val="333333"/>
                <w:sz w:val="20"/>
                <w:szCs w:val="20"/>
              </w:rPr>
              <w:t>~420 TWh</w:t>
            </w:r>
          </w:p>
        </w:tc>
        <w:tc>
          <w:tcPr>
            <w:tcW w:w="1199" w:type="dxa"/>
            <w:tcBorders>
              <w:top w:val="single" w:sz="2" w:space="0" w:color="CCCCCC"/>
              <w:left w:val="single" w:sz="2" w:space="0" w:color="CCCCCC"/>
              <w:bottom w:val="single" w:sz="2" w:space="0" w:color="CCCCCC"/>
              <w:right w:val="single" w:sz="2" w:space="0" w:color="CCCCCC"/>
            </w:tcBorders>
          </w:tcPr>
          <w:p w14:paraId="5CF1A8D9" w14:textId="77777777" w:rsidR="004A4E46" w:rsidRDefault="00000000">
            <w:pPr>
              <w:spacing w:after="40" w:line="276" w:lineRule="auto"/>
            </w:pPr>
            <w:r>
              <w:rPr>
                <w:color w:val="C0392B"/>
                <w:sz w:val="20"/>
                <w:szCs w:val="20"/>
              </w:rPr>
              <w:t>+240 TWh</w:t>
            </w:r>
          </w:p>
        </w:tc>
        <w:tc>
          <w:tcPr>
            <w:tcW w:w="2127" w:type="dxa"/>
            <w:tcBorders>
              <w:top w:val="single" w:sz="2" w:space="0" w:color="CCCCCC"/>
              <w:left w:val="single" w:sz="2" w:space="0" w:color="CCCCCC"/>
              <w:bottom w:val="single" w:sz="2" w:space="0" w:color="CCCCCC"/>
              <w:right w:val="single" w:sz="2" w:space="0" w:color="CCCCCC"/>
            </w:tcBorders>
          </w:tcPr>
          <w:p w14:paraId="3DE77C40" w14:textId="77777777" w:rsidR="004A4E46" w:rsidRDefault="00000000">
            <w:pPr>
              <w:spacing w:after="40" w:line="276" w:lineRule="auto"/>
            </w:pPr>
            <w:r>
              <w:rPr>
                <w:color w:val="333333"/>
                <w:sz w:val="20"/>
                <w:szCs w:val="20"/>
              </w:rPr>
              <w:t>45 %</w:t>
            </w:r>
          </w:p>
        </w:tc>
      </w:tr>
      <w:tr w:rsidR="004A4E46" w14:paraId="51EDFF05" w14:textId="77777777">
        <w:tc>
          <w:tcPr>
            <w:tcW w:w="1699" w:type="dxa"/>
            <w:tcBorders>
              <w:top w:val="single" w:sz="2" w:space="0" w:color="CCCCCC"/>
              <w:left w:val="single" w:sz="2" w:space="0" w:color="CCCCCC"/>
              <w:bottom w:val="single" w:sz="2" w:space="0" w:color="CCCCCC"/>
              <w:right w:val="single" w:sz="2" w:space="0" w:color="CCCCCC"/>
            </w:tcBorders>
          </w:tcPr>
          <w:p w14:paraId="4CDC466E" w14:textId="77777777" w:rsidR="004A4E46" w:rsidRDefault="00000000">
            <w:pPr>
              <w:spacing w:after="40" w:line="276" w:lineRule="auto"/>
            </w:pPr>
            <w:r>
              <w:rPr>
                <w:b/>
                <w:bCs/>
                <w:color w:val="333333"/>
                <w:sz w:val="20"/>
                <w:szCs w:val="20"/>
              </w:rPr>
              <w:t>Chine</w:t>
            </w:r>
          </w:p>
        </w:tc>
        <w:tc>
          <w:tcPr>
            <w:tcW w:w="1201" w:type="dxa"/>
            <w:tcBorders>
              <w:top w:val="single" w:sz="2" w:space="0" w:color="CCCCCC"/>
              <w:left w:val="single" w:sz="2" w:space="0" w:color="CCCCCC"/>
              <w:bottom w:val="single" w:sz="2" w:space="0" w:color="CCCCCC"/>
              <w:right w:val="single" w:sz="2" w:space="0" w:color="CCCCCC"/>
            </w:tcBorders>
          </w:tcPr>
          <w:p w14:paraId="3986D76F" w14:textId="77777777" w:rsidR="004A4E46" w:rsidRDefault="00000000">
            <w:pPr>
              <w:spacing w:after="40" w:line="276" w:lineRule="auto"/>
            </w:pPr>
            <w:r>
              <w:rPr>
                <w:color w:val="333333"/>
                <w:sz w:val="20"/>
                <w:szCs w:val="20"/>
              </w:rPr>
              <w:t>~60 TWh</w:t>
            </w:r>
          </w:p>
        </w:tc>
        <w:tc>
          <w:tcPr>
            <w:tcW w:w="1199" w:type="dxa"/>
            <w:tcBorders>
              <w:top w:val="single" w:sz="2" w:space="0" w:color="CCCCCC"/>
              <w:left w:val="single" w:sz="2" w:space="0" w:color="CCCCCC"/>
              <w:bottom w:val="single" w:sz="2" w:space="0" w:color="CCCCCC"/>
              <w:right w:val="single" w:sz="2" w:space="0" w:color="CCCCCC"/>
            </w:tcBorders>
          </w:tcPr>
          <w:p w14:paraId="05037F44" w14:textId="77777777" w:rsidR="004A4E46" w:rsidRDefault="00000000">
            <w:pPr>
              <w:spacing w:after="40" w:line="276" w:lineRule="auto"/>
            </w:pPr>
            <w:r>
              <w:rPr>
                <w:color w:val="333333"/>
                <w:sz w:val="20"/>
                <w:szCs w:val="20"/>
              </w:rPr>
              <w:t>~102 TWh</w:t>
            </w:r>
          </w:p>
        </w:tc>
        <w:tc>
          <w:tcPr>
            <w:tcW w:w="1401" w:type="dxa"/>
            <w:tcBorders>
              <w:top w:val="single" w:sz="2" w:space="0" w:color="CCCCCC"/>
              <w:left w:val="single" w:sz="2" w:space="0" w:color="CCCCCC"/>
              <w:bottom w:val="single" w:sz="2" w:space="0" w:color="CCCCCC"/>
              <w:right w:val="single" w:sz="2" w:space="0" w:color="CCCCCC"/>
            </w:tcBorders>
          </w:tcPr>
          <w:p w14:paraId="7236012F" w14:textId="77777777" w:rsidR="004A4E46" w:rsidRDefault="00000000">
            <w:pPr>
              <w:spacing w:after="40" w:line="276" w:lineRule="auto"/>
            </w:pPr>
            <w:r>
              <w:rPr>
                <w:color w:val="333333"/>
                <w:sz w:val="20"/>
                <w:szCs w:val="20"/>
              </w:rPr>
              <w:t>~280 TWh</w:t>
            </w:r>
          </w:p>
        </w:tc>
        <w:tc>
          <w:tcPr>
            <w:tcW w:w="1199" w:type="dxa"/>
            <w:tcBorders>
              <w:top w:val="single" w:sz="2" w:space="0" w:color="CCCCCC"/>
              <w:left w:val="single" w:sz="2" w:space="0" w:color="CCCCCC"/>
              <w:bottom w:val="single" w:sz="2" w:space="0" w:color="CCCCCC"/>
              <w:right w:val="single" w:sz="2" w:space="0" w:color="CCCCCC"/>
            </w:tcBorders>
          </w:tcPr>
          <w:p w14:paraId="1CD84BBB" w14:textId="77777777" w:rsidR="004A4E46" w:rsidRDefault="00000000">
            <w:pPr>
              <w:spacing w:after="40" w:line="276" w:lineRule="auto"/>
            </w:pPr>
            <w:r>
              <w:rPr>
                <w:color w:val="C0392B"/>
                <w:sz w:val="20"/>
                <w:szCs w:val="20"/>
              </w:rPr>
              <w:t>+175 TWh</w:t>
            </w:r>
          </w:p>
        </w:tc>
        <w:tc>
          <w:tcPr>
            <w:tcW w:w="2127" w:type="dxa"/>
            <w:tcBorders>
              <w:top w:val="single" w:sz="2" w:space="0" w:color="CCCCCC"/>
              <w:left w:val="single" w:sz="2" w:space="0" w:color="CCCCCC"/>
              <w:bottom w:val="single" w:sz="2" w:space="0" w:color="CCCCCC"/>
              <w:right w:val="single" w:sz="2" w:space="0" w:color="CCCCCC"/>
            </w:tcBorders>
          </w:tcPr>
          <w:p w14:paraId="30DE0EE4" w14:textId="77777777" w:rsidR="004A4E46" w:rsidRDefault="00000000">
            <w:pPr>
              <w:spacing w:after="40" w:line="276" w:lineRule="auto"/>
            </w:pPr>
            <w:r>
              <w:rPr>
                <w:color w:val="333333"/>
                <w:sz w:val="20"/>
                <w:szCs w:val="20"/>
              </w:rPr>
              <w:t>25 %</w:t>
            </w:r>
          </w:p>
        </w:tc>
      </w:tr>
      <w:tr w:rsidR="004A4E46" w14:paraId="139DC1AF" w14:textId="77777777">
        <w:tc>
          <w:tcPr>
            <w:tcW w:w="1699" w:type="dxa"/>
            <w:tcBorders>
              <w:top w:val="single" w:sz="2" w:space="0" w:color="CCCCCC"/>
              <w:left w:val="single" w:sz="2" w:space="0" w:color="CCCCCC"/>
              <w:bottom w:val="single" w:sz="2" w:space="0" w:color="CCCCCC"/>
              <w:right w:val="single" w:sz="2" w:space="0" w:color="CCCCCC"/>
            </w:tcBorders>
          </w:tcPr>
          <w:p w14:paraId="325D3384" w14:textId="77777777" w:rsidR="004A4E46" w:rsidRDefault="00000000">
            <w:pPr>
              <w:spacing w:after="40" w:line="276" w:lineRule="auto"/>
            </w:pPr>
            <w:r>
              <w:rPr>
                <w:b/>
                <w:bCs/>
                <w:color w:val="333333"/>
                <w:sz w:val="20"/>
                <w:szCs w:val="20"/>
              </w:rPr>
              <w:t>Europe (UE)</w:t>
            </w:r>
          </w:p>
        </w:tc>
        <w:tc>
          <w:tcPr>
            <w:tcW w:w="1201" w:type="dxa"/>
            <w:tcBorders>
              <w:top w:val="single" w:sz="2" w:space="0" w:color="CCCCCC"/>
              <w:left w:val="single" w:sz="2" w:space="0" w:color="CCCCCC"/>
              <w:bottom w:val="single" w:sz="2" w:space="0" w:color="CCCCCC"/>
              <w:right w:val="single" w:sz="2" w:space="0" w:color="CCCCCC"/>
            </w:tcBorders>
          </w:tcPr>
          <w:p w14:paraId="3C8E1A7B" w14:textId="77777777" w:rsidR="004A4E46" w:rsidRDefault="00000000">
            <w:pPr>
              <w:spacing w:after="40" w:line="276" w:lineRule="auto"/>
            </w:pPr>
            <w:r>
              <w:rPr>
                <w:color w:val="333333"/>
                <w:sz w:val="20"/>
                <w:szCs w:val="20"/>
              </w:rPr>
              <w:t>~45 TWh</w:t>
            </w:r>
          </w:p>
        </w:tc>
        <w:tc>
          <w:tcPr>
            <w:tcW w:w="1199" w:type="dxa"/>
            <w:tcBorders>
              <w:top w:val="single" w:sz="2" w:space="0" w:color="CCCCCC"/>
              <w:left w:val="single" w:sz="2" w:space="0" w:color="CCCCCC"/>
              <w:bottom w:val="single" w:sz="2" w:space="0" w:color="CCCCCC"/>
              <w:right w:val="single" w:sz="2" w:space="0" w:color="CCCCCC"/>
            </w:tcBorders>
          </w:tcPr>
          <w:p w14:paraId="329ABE1F" w14:textId="77777777" w:rsidR="004A4E46" w:rsidRDefault="00000000">
            <w:pPr>
              <w:spacing w:after="40" w:line="276" w:lineRule="auto"/>
            </w:pPr>
            <w:r>
              <w:rPr>
                <w:color w:val="333333"/>
                <w:sz w:val="20"/>
                <w:szCs w:val="20"/>
              </w:rPr>
              <w:t>~70 TWh</w:t>
            </w:r>
          </w:p>
        </w:tc>
        <w:tc>
          <w:tcPr>
            <w:tcW w:w="1401" w:type="dxa"/>
            <w:tcBorders>
              <w:top w:val="single" w:sz="2" w:space="0" w:color="CCCCCC"/>
              <w:left w:val="single" w:sz="2" w:space="0" w:color="CCCCCC"/>
              <w:bottom w:val="single" w:sz="2" w:space="0" w:color="CCCCCC"/>
              <w:right w:val="single" w:sz="2" w:space="0" w:color="CCCCCC"/>
            </w:tcBorders>
          </w:tcPr>
          <w:p w14:paraId="757C7224" w14:textId="77777777" w:rsidR="004A4E46" w:rsidRDefault="00000000">
            <w:pPr>
              <w:spacing w:after="40" w:line="276" w:lineRule="auto"/>
            </w:pPr>
            <w:r>
              <w:rPr>
                <w:color w:val="333333"/>
                <w:sz w:val="20"/>
                <w:szCs w:val="20"/>
              </w:rPr>
              <w:t>~115 TWh</w:t>
            </w:r>
          </w:p>
        </w:tc>
        <w:tc>
          <w:tcPr>
            <w:tcW w:w="1199" w:type="dxa"/>
            <w:tcBorders>
              <w:top w:val="single" w:sz="2" w:space="0" w:color="CCCCCC"/>
              <w:left w:val="single" w:sz="2" w:space="0" w:color="CCCCCC"/>
              <w:bottom w:val="single" w:sz="2" w:space="0" w:color="CCCCCC"/>
              <w:right w:val="single" w:sz="2" w:space="0" w:color="CCCCCC"/>
            </w:tcBorders>
          </w:tcPr>
          <w:p w14:paraId="4233C8D6" w14:textId="77777777" w:rsidR="004A4E46" w:rsidRDefault="00000000">
            <w:pPr>
              <w:spacing w:after="40" w:line="276" w:lineRule="auto"/>
            </w:pPr>
            <w:r>
              <w:rPr>
                <w:color w:val="C0392B"/>
                <w:sz w:val="20"/>
                <w:szCs w:val="20"/>
              </w:rPr>
              <w:t>+45 TWh</w:t>
            </w:r>
          </w:p>
        </w:tc>
        <w:tc>
          <w:tcPr>
            <w:tcW w:w="2127" w:type="dxa"/>
            <w:tcBorders>
              <w:top w:val="single" w:sz="2" w:space="0" w:color="CCCCCC"/>
              <w:left w:val="single" w:sz="2" w:space="0" w:color="CCCCCC"/>
              <w:bottom w:val="single" w:sz="2" w:space="0" w:color="CCCCCC"/>
              <w:right w:val="single" w:sz="2" w:space="0" w:color="CCCCCC"/>
            </w:tcBorders>
          </w:tcPr>
          <w:p w14:paraId="57AC9A06" w14:textId="77777777" w:rsidR="004A4E46" w:rsidRDefault="00000000">
            <w:pPr>
              <w:spacing w:after="40" w:line="276" w:lineRule="auto"/>
            </w:pPr>
            <w:r>
              <w:rPr>
                <w:color w:val="333333"/>
                <w:sz w:val="20"/>
                <w:szCs w:val="20"/>
              </w:rPr>
              <w:t>15 %</w:t>
            </w:r>
          </w:p>
        </w:tc>
      </w:tr>
      <w:tr w:rsidR="004A4E46" w14:paraId="371B7FBF" w14:textId="77777777">
        <w:tc>
          <w:tcPr>
            <w:tcW w:w="1699" w:type="dxa"/>
            <w:tcBorders>
              <w:top w:val="single" w:sz="2" w:space="0" w:color="CCCCCC"/>
              <w:left w:val="single" w:sz="2" w:space="0" w:color="CCCCCC"/>
              <w:bottom w:val="single" w:sz="2" w:space="0" w:color="CCCCCC"/>
              <w:right w:val="single" w:sz="2" w:space="0" w:color="CCCCCC"/>
            </w:tcBorders>
            <w:shd w:val="clear" w:color="auto" w:fill="F2F2F2"/>
          </w:tcPr>
          <w:p w14:paraId="261C0076" w14:textId="77777777" w:rsidR="004A4E46" w:rsidRDefault="00000000">
            <w:pPr>
              <w:spacing w:after="40" w:line="276" w:lineRule="auto"/>
            </w:pPr>
            <w:r>
              <w:rPr>
                <w:b/>
                <w:bCs/>
                <w:color w:val="333333"/>
                <w:sz w:val="20"/>
                <w:szCs w:val="20"/>
              </w:rPr>
              <w:t>Monde</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Pr>
          <w:p w14:paraId="1B4A76F3" w14:textId="77777777" w:rsidR="004A4E46" w:rsidRDefault="00000000">
            <w:pPr>
              <w:spacing w:after="40" w:line="276" w:lineRule="auto"/>
            </w:pPr>
            <w:r>
              <w:rPr>
                <w:color w:val="333333"/>
                <w:sz w:val="20"/>
                <w:szCs w:val="20"/>
              </w:rPr>
              <w:t>~270 TWh</w:t>
            </w:r>
          </w:p>
        </w:tc>
        <w:tc>
          <w:tcPr>
            <w:tcW w:w="1199" w:type="dxa"/>
            <w:tcBorders>
              <w:top w:val="single" w:sz="2" w:space="0" w:color="CCCCCC"/>
              <w:left w:val="single" w:sz="2" w:space="0" w:color="CCCCCC"/>
              <w:bottom w:val="single" w:sz="2" w:space="0" w:color="CCCCCC"/>
              <w:right w:val="single" w:sz="2" w:space="0" w:color="CCCCCC"/>
            </w:tcBorders>
            <w:shd w:val="clear" w:color="auto" w:fill="F2F2F2"/>
          </w:tcPr>
          <w:p w14:paraId="12C21814" w14:textId="77777777" w:rsidR="004A4E46" w:rsidRDefault="00000000">
            <w:pPr>
              <w:spacing w:after="40" w:line="276" w:lineRule="auto"/>
            </w:pPr>
            <w:r>
              <w:rPr>
                <w:color w:val="333333"/>
                <w:sz w:val="20"/>
                <w:szCs w:val="20"/>
              </w:rPr>
              <w:t>~415 TWh</w:t>
            </w:r>
          </w:p>
        </w:tc>
        <w:tc>
          <w:tcPr>
            <w:tcW w:w="1401" w:type="dxa"/>
            <w:tcBorders>
              <w:top w:val="single" w:sz="2" w:space="0" w:color="CCCCCC"/>
              <w:left w:val="single" w:sz="2" w:space="0" w:color="CCCCCC"/>
              <w:bottom w:val="single" w:sz="2" w:space="0" w:color="CCCCCC"/>
              <w:right w:val="single" w:sz="2" w:space="0" w:color="CCCCCC"/>
            </w:tcBorders>
            <w:shd w:val="clear" w:color="auto" w:fill="F2F2F2"/>
          </w:tcPr>
          <w:p w14:paraId="3B227BE7" w14:textId="77777777" w:rsidR="004A4E46" w:rsidRDefault="00000000">
            <w:pPr>
              <w:spacing w:after="40" w:line="276" w:lineRule="auto"/>
            </w:pPr>
            <w:r>
              <w:rPr>
                <w:color w:val="333333"/>
                <w:sz w:val="20"/>
                <w:szCs w:val="20"/>
              </w:rPr>
              <w:t>~945 TWh</w:t>
            </w:r>
          </w:p>
        </w:tc>
        <w:tc>
          <w:tcPr>
            <w:tcW w:w="1199" w:type="dxa"/>
            <w:tcBorders>
              <w:top w:val="single" w:sz="2" w:space="0" w:color="CCCCCC"/>
              <w:left w:val="single" w:sz="2" w:space="0" w:color="CCCCCC"/>
              <w:bottom w:val="single" w:sz="2" w:space="0" w:color="CCCCCC"/>
              <w:right w:val="single" w:sz="2" w:space="0" w:color="CCCCCC"/>
            </w:tcBorders>
            <w:shd w:val="clear" w:color="auto" w:fill="F2F2F2"/>
          </w:tcPr>
          <w:p w14:paraId="34F80F15" w14:textId="77777777" w:rsidR="004A4E46" w:rsidRDefault="00000000">
            <w:pPr>
              <w:spacing w:after="40" w:line="276" w:lineRule="auto"/>
            </w:pPr>
            <w:r>
              <w:rPr>
                <w:b/>
                <w:bCs/>
                <w:color w:val="333333"/>
                <w:sz w:val="20"/>
                <w:szCs w:val="20"/>
              </w:rPr>
              <w:t>+530 TWh</w:t>
            </w:r>
          </w:p>
        </w:tc>
        <w:tc>
          <w:tcPr>
            <w:tcW w:w="2127" w:type="dxa"/>
            <w:tcBorders>
              <w:top w:val="single" w:sz="2" w:space="0" w:color="CCCCCC"/>
              <w:left w:val="single" w:sz="2" w:space="0" w:color="CCCCCC"/>
              <w:bottom w:val="single" w:sz="2" w:space="0" w:color="CCCCCC"/>
              <w:right w:val="single" w:sz="2" w:space="0" w:color="CCCCCC"/>
            </w:tcBorders>
            <w:shd w:val="clear" w:color="auto" w:fill="F2F2F2"/>
          </w:tcPr>
          <w:p w14:paraId="2B675B04" w14:textId="77777777" w:rsidR="004A4E46" w:rsidRDefault="00000000">
            <w:pPr>
              <w:spacing w:after="40" w:line="276" w:lineRule="auto"/>
            </w:pPr>
            <w:r>
              <w:rPr>
                <w:color w:val="333333"/>
                <w:sz w:val="20"/>
                <w:szCs w:val="20"/>
              </w:rPr>
              <w:t>100 %</w:t>
            </w:r>
          </w:p>
        </w:tc>
      </w:tr>
    </w:tbl>
    <w:p w14:paraId="35008D51" w14:textId="77777777" w:rsidR="004A4E46" w:rsidRDefault="004A4E46">
      <w:pPr>
        <w:spacing w:after="80"/>
      </w:pPr>
    </w:p>
    <w:p w14:paraId="713A287A" w14:textId="77777777" w:rsidR="004A4E46" w:rsidRPr="00EB01F1" w:rsidRDefault="00000000">
      <w:pPr>
        <w:spacing w:after="160" w:line="312" w:lineRule="auto"/>
        <w:rPr>
          <w:lang w:val="fr-FR"/>
        </w:rPr>
      </w:pPr>
      <w:r>
        <w:rPr>
          <w:b/>
          <w:bCs/>
          <w:color w:val="333333"/>
          <w:sz w:val="20"/>
          <w:szCs w:val="20"/>
          <w:lang w:val="fr-FR"/>
        </w:rPr>
        <w:t>Tableau 4.</w:t>
      </w:r>
      <w:r>
        <w:rPr>
          <w:i/>
          <w:iCs/>
          <w:color w:val="333333"/>
          <w:sz w:val="20"/>
          <w:szCs w:val="20"/>
          <w:lang w:val="fr-FR"/>
        </w:rPr>
        <w:t xml:space="preserve"> Consommation électrique des data centers par région, 2020–2030. Source : IEA (2025), Energy and AI.</w:t>
      </w:r>
    </w:p>
    <w:p w14:paraId="5F2FB82B" w14:textId="77777777" w:rsidR="004A4E46" w:rsidRPr="00EB01F1" w:rsidRDefault="00000000">
      <w:pPr>
        <w:pBdr>
          <w:top w:val="single" w:sz="2" w:space="8" w:color="2E75B6"/>
          <w:bottom w:val="single" w:sz="2" w:space="8" w:color="2E75B6"/>
        </w:pBdr>
        <w:shd w:val="clear" w:color="auto" w:fill="EBF5FB"/>
        <w:spacing w:before="200" w:after="80"/>
        <w:jc w:val="center"/>
        <w:rPr>
          <w:lang w:val="fr-FR"/>
        </w:rPr>
      </w:pPr>
      <w:r>
        <w:rPr>
          <w:b/>
          <w:bCs/>
          <w:color w:val="2E75B6"/>
          <w:sz w:val="22"/>
          <w:szCs w:val="22"/>
          <w:lang w:val="fr-FR"/>
        </w:rPr>
        <w:t>[Graphique G1 — Trajectoire de la consommation électrique des data centers par région, 2020–2030 (TWh)]</w:t>
      </w:r>
    </w:p>
    <w:p w14:paraId="44B94088" w14:textId="77777777" w:rsidR="004A4E46" w:rsidRPr="00EB01F1" w:rsidRDefault="00000000">
      <w:pPr>
        <w:spacing w:after="200"/>
        <w:jc w:val="center"/>
        <w:rPr>
          <w:lang w:val="fr-FR"/>
        </w:rPr>
      </w:pPr>
      <w:r>
        <w:rPr>
          <w:b/>
          <w:bCs/>
          <w:color w:val="333333"/>
          <w:sz w:val="19"/>
          <w:szCs w:val="19"/>
          <w:lang w:val="fr-FR"/>
        </w:rPr>
        <w:t>Graphique G1.</w:t>
      </w:r>
      <w:r>
        <w:rPr>
          <w:i/>
          <w:iCs/>
          <w:color w:val="555555"/>
          <w:sz w:val="19"/>
          <w:szCs w:val="19"/>
          <w:lang w:val="fr-FR"/>
        </w:rPr>
        <w:t xml:space="preserve"> Trajectoire de la consommation électrique des data centers par région, 2020–2030 (TWh).</w:t>
      </w:r>
    </w:p>
    <w:p w14:paraId="11ED855D" w14:textId="77777777" w:rsidR="004A4E46" w:rsidRPr="00EB01F1" w:rsidRDefault="00000000">
      <w:pPr>
        <w:pStyle w:val="Titre3"/>
        <w:rPr>
          <w:lang w:val="fr-FR"/>
        </w:rPr>
      </w:pPr>
      <w:r>
        <w:rPr>
          <w:lang w:val="fr-FR"/>
        </w:rPr>
        <w:t>3.1.3 Le facteur énergétique comme avantage compétitif</w:t>
      </w:r>
    </w:p>
    <w:p w14:paraId="60220019" w14:textId="77777777" w:rsidR="004A4E46" w:rsidRPr="00EB01F1" w:rsidRDefault="00000000">
      <w:pPr>
        <w:spacing w:after="160" w:line="312" w:lineRule="auto"/>
        <w:jc w:val="both"/>
        <w:rPr>
          <w:lang w:val="fr-FR"/>
        </w:rPr>
      </w:pPr>
      <w:r>
        <w:rPr>
          <w:color w:val="333333"/>
          <w:lang w:val="fr-FR"/>
        </w:rPr>
        <w:t xml:space="preserve">L’asymétrie énergétique constitue un avantage structurel pour les États-Unis. L’IEA note que le gaz naturel fournit actuellement 40 % de l’électricité des data centers américains, les renouvelables 24 %, le nucléaire 20 % et le charbon 15 %. En Europe, le mix est plus contraint par les objectifs climatiques et les coûts énergétiques plus élevés. Le prix de l’électricité industrielle est typiquement 2 à 3 fois plus élevé en Europe qu’aux États-Unis, avant négociations de Power Purchase Agreements. Comme le documente le Federal Reserve Board (octobre 2025), il existe une </w:t>
      </w:r>
      <w:r>
        <w:rPr>
          <w:i/>
          <w:iCs/>
          <w:color w:val="333333"/>
          <w:lang w:val="fr-FR"/>
        </w:rPr>
        <w:t>corrélation négative significative</w:t>
      </w:r>
      <w:r>
        <w:rPr>
          <w:color w:val="333333"/>
          <w:lang w:val="fr-FR"/>
        </w:rPr>
        <w:t xml:space="preserve"> entre coûts énergétiques et adoption de l’IA au niveau des entreprises européennes.</w:t>
      </w:r>
      <w:r>
        <w:rPr>
          <w:color w:val="2E75B6"/>
          <w:sz w:val="18"/>
          <w:szCs w:val="18"/>
          <w:vertAlign w:val="superscript"/>
          <w:lang w:val="fr-FR"/>
        </w:rPr>
        <w:t>5</w:t>
      </w:r>
    </w:p>
    <w:p w14:paraId="136AAB95" w14:textId="77777777" w:rsidR="004A4E46" w:rsidRPr="00EB01F1" w:rsidRDefault="00000000">
      <w:pPr>
        <w:spacing w:after="160" w:line="312" w:lineRule="auto"/>
        <w:ind w:firstLine="360"/>
        <w:jc w:val="both"/>
        <w:rPr>
          <w:lang w:val="fr-FR"/>
        </w:rPr>
      </w:pPr>
      <w:r>
        <w:rPr>
          <w:color w:val="333333"/>
          <w:lang w:val="fr-FR"/>
        </w:rPr>
        <w:t xml:space="preserve">La France dispose toutefois d’un atout spécifique dans ce contexte : son mix électrique nucléaire (environ 65–70 % de la production), qui offre une électricité relativement bon marché, décarbonée et disponible en base. RTE estime un besoin additionnel de +10 GW pour les data centers en France d’ici 2030, ce qui reste </w:t>
        <w:lastRenderedPageBreak/>
        <w:t>compatible avec la capacité installée sous réserve d’investissements dans le réseau de transport.</w:t>
      </w:r>
    </w:p>
    <w:p w14:paraId="7E452733" w14:textId="77777777" w:rsidR="004A4E46" w:rsidRPr="00EB01F1" w:rsidRDefault="00000000">
      <w:pPr>
        <w:pStyle w:val="Titre3"/>
        <w:rPr>
          <w:lang w:val="fr-FR"/>
        </w:rPr>
      </w:pPr>
      <w:r>
        <w:rPr>
          <w:lang w:val="fr-FR"/>
        </w:rPr>
        <w:t>3.1.4 Effet amplificateur : robotique IA et demande énergétique industrielle</w:t>
      </w:r>
    </w:p>
    <w:p w14:paraId="3DFDD8F2" w14:textId="77777777" w:rsidR="004A4E46" w:rsidRPr="00EB01F1" w:rsidRDefault="00000000">
      <w:pPr>
        <w:spacing w:after="160" w:line="312" w:lineRule="auto"/>
        <w:jc w:val="both"/>
        <w:rPr>
          <w:lang w:val="fr-FR"/>
        </w:rPr>
      </w:pPr>
      <w:r>
        <w:rPr>
          <w:color w:val="333333"/>
          <w:lang w:val="fr-FR"/>
        </w:rPr>
        <w:t>Un facteur encore peu quantifié dans la littérature est l’impact de la robotique IA sur la demande énergétique. Les robots autonomes nécessitent à la fois du compute embarqué (</w:t>
      </w:r>
      <w:r>
        <w:rPr>
          <w:i/>
          <w:iCs/>
          <w:color w:val="333333"/>
          <w:lang w:val="fr-FR"/>
        </w:rPr>
        <w:t>edge computing</w:t>
      </w:r>
      <w:r>
        <w:rPr>
          <w:color w:val="333333"/>
          <w:lang w:val="fr-FR"/>
        </w:rPr>
        <w:t>) et du compute centralisé (cloud IA pour le training et la mise à jour des modèles). La généralisation de l’automatisation IA dans l’industrie pourrait ajouter 20 à 30 % de demande énergétique supplémentaire dans les secteurs concernés, en sus de la croissance des data centers. Ce facteur est intégré comme variable de sensibilité dans nos scénarios (Chapitre V), car il n’existe pas encore d’estimation précise et fiable. L’IEA consacre toutefois un volet de son rapport à l’« effet rebond de Jevons » : même avec des gains d’efficacité significatifs (illustrés par le cas DeepSeek), la croissance de la demande absorbe les gains.</w:t>
      </w:r>
      <w:r>
        <w:rPr>
          <w:color w:val="2E75B6"/>
          <w:sz w:val="18"/>
          <w:szCs w:val="18"/>
          <w:vertAlign w:val="superscript"/>
          <w:lang w:val="fr-FR"/>
        </w:rPr>
        <w:t>6</w:t>
      </w:r>
    </w:p>
    <w:p w14:paraId="4E789AD9" w14:textId="77777777" w:rsidR="004A4E46" w:rsidRPr="00EB01F1" w:rsidRDefault="00000000">
      <w:pPr>
        <w:rPr>
          <w:lang w:val="fr-FR"/>
        </w:rPr>
      </w:pPr>
      <w:r>
        <w:rPr>
          <w:lang w:val="fr-FR"/>
        </w:rPr>
        <w:br w:type="page"/>
      </w:r>
    </w:p>
    <w:p w14:paraId="03D955FF" w14:textId="77777777" w:rsidR="004A4E46" w:rsidRPr="00EB01F1" w:rsidRDefault="00000000">
      <w:pPr>
        <w:pStyle w:val="Titre2"/>
        <w:spacing w:before="0"/>
        <w:rPr>
          <w:lang w:val="fr-FR"/>
        </w:rPr>
      </w:pPr>
      <w:r>
        <w:rPr>
          <w:lang w:val="fr-FR"/>
        </w:rPr>
        <w:lastRenderedPageBreak/>
        <w:t>3.2 Marché des semi-conducteurs : une croissance tirée par l’IA</w:t>
      </w:r>
    </w:p>
    <w:p w14:paraId="43C4BEF9" w14:textId="77777777" w:rsidR="004A4E46" w:rsidRPr="00EB01F1" w:rsidRDefault="00000000">
      <w:pPr>
        <w:pStyle w:val="Titre3"/>
        <w:rPr>
          <w:lang w:val="fr-FR"/>
        </w:rPr>
      </w:pPr>
      <w:r>
        <w:rPr>
          <w:lang w:val="fr-FR"/>
        </w:rPr>
        <w:t>3.2.1 Trajectoire des ventes mondiales 2020–2025</w:t>
      </w:r>
    </w:p>
    <w:p w14:paraId="6DDF3E28" w14:textId="77777777" w:rsidR="004A4E46" w:rsidRPr="00EB01F1" w:rsidRDefault="00000000">
      <w:pPr>
        <w:spacing w:after="160" w:line="312" w:lineRule="auto"/>
        <w:jc w:val="both"/>
        <w:rPr>
          <w:lang w:val="fr-FR"/>
        </w:rPr>
      </w:pPr>
      <w:r>
        <w:rPr>
          <w:color w:val="333333"/>
          <w:lang w:val="fr-FR"/>
        </w:rPr>
        <w:t xml:space="preserve">Le marché mondial des semi-conducteurs a connu une trajectoire remarquable depuis 2020. Après un record de 555,9 milliards de dollars en 2022, le secteur a subi une contraction de 8,2 % en 2023 (526,8 Md$), avant un rebond spectaculaire en 2024 : les ventes mondiales ont atteint </w:t>
      </w:r>
      <w:r>
        <w:rPr>
          <w:b/>
          <w:bCs/>
          <w:color w:val="333333"/>
          <w:lang w:val="fr-FR"/>
        </w:rPr>
        <w:t>630,5 milliards de dollars</w:t>
      </w:r>
      <w:r>
        <w:rPr>
          <w:color w:val="333333"/>
          <w:lang w:val="fr-FR"/>
        </w:rPr>
        <w:t xml:space="preserve"> (donnée révisée SIA/WSTS, mars 2025), soit une hausse de 19,1 % sur un an et un nouveau record historique.</w:t>
      </w:r>
      <w:r>
        <w:rPr>
          <w:color w:val="2E75B6"/>
          <w:sz w:val="18"/>
          <w:szCs w:val="18"/>
          <w:vertAlign w:val="superscript"/>
          <w:lang w:val="fr-FR"/>
        </w:rPr>
        <w:t>7</w:t>
      </w:r>
    </w:p>
    <w:p w14:paraId="28606D5C" w14:textId="77777777" w:rsidR="004A4E46" w:rsidRPr="00EB01F1" w:rsidRDefault="00000000">
      <w:pPr>
        <w:spacing w:after="160" w:line="312" w:lineRule="auto"/>
        <w:ind w:firstLine="360"/>
        <w:jc w:val="both"/>
        <w:rPr>
          <w:lang w:val="fr-FR"/>
        </w:rPr>
      </w:pPr>
      <w:r>
        <w:rPr>
          <w:color w:val="333333"/>
          <w:lang w:val="fr-FR"/>
        </w:rPr>
        <w:t xml:space="preserve">L’année 2025 a confirmé l’accélération. La SIA a annoncé en février 2026 des ventes mondiales de </w:t>
      </w:r>
      <w:r>
        <w:rPr>
          <w:b/>
          <w:bCs/>
          <w:color w:val="333333"/>
          <w:lang w:val="fr-FR"/>
        </w:rPr>
        <w:t>791,7 milliards de dollars en 2025</w:t>
      </w:r>
      <w:r>
        <w:rPr>
          <w:color w:val="333333"/>
          <w:lang w:val="fr-FR"/>
        </w:rPr>
        <w:t>, soit une hausse de 25,6 % par rapport à 2024.</w:t>
      </w:r>
      <w:r>
        <w:rPr>
          <w:color w:val="2E75B6"/>
          <w:sz w:val="18"/>
          <w:szCs w:val="18"/>
          <w:vertAlign w:val="superscript"/>
          <w:lang w:val="fr-FR"/>
        </w:rPr>
        <w:t>8</w:t>
      </w:r>
      <w:r>
        <w:rPr>
          <w:color w:val="333333"/>
          <w:lang w:val="fr-FR"/>
        </w:rPr>
        <w:t xml:space="preserve"> Le quatrième trimestre 2025 (236,6 Md$) a été 37,1 % supérieur au même trimestre 2024. La SIA projette désormais des ventes proches de </w:t>
      </w:r>
      <w:r>
        <w:rPr>
          <w:b/>
          <w:bCs/>
          <w:color w:val="333333"/>
          <w:lang w:val="fr-FR"/>
        </w:rPr>
        <w:t>1 000 milliards de dollars en 2026</w:t>
      </w:r>
      <w:r>
        <w:rPr>
          <w:color w:val="333333"/>
          <w:lang w:val="fr-FR"/>
        </w:rPr>
        <w:t>, un seuil symbolique qui semblait hors de portée il y a deux ans.</w:t>
      </w:r>
    </w:p>
    <w:p w14:paraId="16501A65" w14:textId="77777777" w:rsidR="004A4E46" w:rsidRPr="00EB01F1" w:rsidRDefault="00000000">
      <w:pPr>
        <w:spacing w:after="160" w:line="312" w:lineRule="auto"/>
        <w:ind w:firstLine="360"/>
        <w:jc w:val="both"/>
        <w:rPr>
          <w:lang w:val="fr-FR"/>
        </w:rPr>
      </w:pPr>
      <w:r>
        <w:rPr>
          <w:color w:val="333333"/>
          <w:lang w:val="fr-FR"/>
        </w:rPr>
        <w:t xml:space="preserve">Deux segments tirent cette croissance. Les </w:t>
      </w:r>
      <w:r>
        <w:rPr>
          <w:b/>
          <w:bCs/>
          <w:color w:val="333333"/>
          <w:lang w:val="fr-FR"/>
        </w:rPr>
        <w:t>puces logiques</w:t>
      </w:r>
      <w:r>
        <w:rPr>
          <w:color w:val="333333"/>
          <w:lang w:val="fr-FR"/>
        </w:rPr>
        <w:t xml:space="preserve"> (processeurs, GPU, ASIC) ont atteint 301,9 Md$ en 2025 (+39,9 %), devenant la première catégorie par les ventes. Les </w:t>
      </w:r>
      <w:r>
        <w:rPr>
          <w:b/>
          <w:bCs/>
          <w:color w:val="333333"/>
          <w:lang w:val="fr-FR"/>
        </w:rPr>
        <w:t>mémoires</w:t>
      </w:r>
      <w:r>
        <w:rPr>
          <w:color w:val="333333"/>
          <w:lang w:val="fr-FR"/>
        </w:rPr>
        <w:t xml:space="preserve"> (DRAM, NAND) ont atteint 223,1 Md$ (+34,8 %). Ces deux segments représentent ensemble plus de 66 % des ventes mondiales et reflètent directement la demande d’infrastructure IA : serveurs, data centers et HPC (</w:t>
      </w:r>
      <w:r>
        <w:rPr>
          <w:i/>
          <w:iCs/>
          <w:color w:val="333333"/>
          <w:lang w:val="fr-FR"/>
        </w:rPr>
        <w:t>High Performance Computing</w:t>
      </w:r>
      <w:r>
        <w:rPr>
          <w:color w:val="333333"/>
          <w:lang w:val="fr-FR"/>
        </w:rPr>
        <w:t>).</w:t>
      </w:r>
    </w:p>
    <w:p w14:paraId="1A116278" w14:textId="77777777" w:rsidR="004A4E46" w:rsidRPr="00EB01F1" w:rsidRDefault="004A4E46">
      <w:pPr>
        <w:spacing w:after="80"/>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1500"/>
        <w:gridCol w:w="1100"/>
        <w:gridCol w:w="1099"/>
        <w:gridCol w:w="1100"/>
        <w:gridCol w:w="1101"/>
        <w:gridCol w:w="1099"/>
        <w:gridCol w:w="1827"/>
      </w:tblGrid>
      <w:tr w:rsidR="004A4E46" w14:paraId="21C339BF" w14:textId="77777777">
        <w:tc>
          <w:tcPr>
            <w:tcW w:w="1500" w:type="dxa"/>
            <w:tcBorders>
              <w:top w:val="single" w:sz="2" w:space="0" w:color="CCCCCC"/>
              <w:left w:val="single" w:sz="2" w:space="0" w:color="CCCCCC"/>
              <w:bottom w:val="single" w:sz="2" w:space="0" w:color="CCCCCC"/>
              <w:right w:val="single" w:sz="2" w:space="0" w:color="CCCCCC"/>
            </w:tcBorders>
            <w:shd w:val="clear" w:color="auto" w:fill="1B3A5C"/>
          </w:tcPr>
          <w:p w14:paraId="27FB5DE7" w14:textId="77777777" w:rsidR="004A4E46" w:rsidRDefault="00000000">
            <w:r>
              <w:rPr>
                <w:b/>
                <w:bCs/>
                <w:color w:val="FFFFFF"/>
                <w:sz w:val="20"/>
                <w:szCs w:val="20"/>
              </w:rPr>
              <w:t>Année</w:t>
            </w:r>
          </w:p>
        </w:tc>
        <w:tc>
          <w:tcPr>
            <w:tcW w:w="1100" w:type="dxa"/>
            <w:tcBorders>
              <w:top w:val="single" w:sz="2" w:space="0" w:color="CCCCCC"/>
              <w:left w:val="single" w:sz="2" w:space="0" w:color="CCCCCC"/>
              <w:bottom w:val="single" w:sz="2" w:space="0" w:color="CCCCCC"/>
              <w:right w:val="single" w:sz="2" w:space="0" w:color="CCCCCC"/>
            </w:tcBorders>
            <w:shd w:val="clear" w:color="auto" w:fill="1B3A5C"/>
          </w:tcPr>
          <w:p w14:paraId="714E2541" w14:textId="77777777" w:rsidR="004A4E46" w:rsidRDefault="00000000">
            <w:r>
              <w:rPr>
                <w:b/>
                <w:bCs/>
                <w:color w:val="FFFFFF"/>
                <w:sz w:val="20"/>
                <w:szCs w:val="20"/>
              </w:rPr>
              <w:t>2020</w:t>
            </w:r>
          </w:p>
        </w:tc>
        <w:tc>
          <w:tcPr>
            <w:tcW w:w="1099" w:type="dxa"/>
            <w:tcBorders>
              <w:top w:val="single" w:sz="2" w:space="0" w:color="CCCCCC"/>
              <w:left w:val="single" w:sz="2" w:space="0" w:color="CCCCCC"/>
              <w:bottom w:val="single" w:sz="2" w:space="0" w:color="CCCCCC"/>
              <w:right w:val="single" w:sz="2" w:space="0" w:color="CCCCCC"/>
            </w:tcBorders>
            <w:shd w:val="clear" w:color="auto" w:fill="1B3A5C"/>
          </w:tcPr>
          <w:p w14:paraId="5DF8339C" w14:textId="77777777" w:rsidR="004A4E46" w:rsidRDefault="00000000">
            <w:r>
              <w:rPr>
                <w:b/>
                <w:bCs/>
                <w:color w:val="FFFFFF"/>
                <w:sz w:val="20"/>
                <w:szCs w:val="20"/>
              </w:rPr>
              <w:t>2022</w:t>
            </w:r>
          </w:p>
        </w:tc>
        <w:tc>
          <w:tcPr>
            <w:tcW w:w="1100" w:type="dxa"/>
            <w:tcBorders>
              <w:top w:val="single" w:sz="2" w:space="0" w:color="CCCCCC"/>
              <w:left w:val="single" w:sz="2" w:space="0" w:color="CCCCCC"/>
              <w:bottom w:val="single" w:sz="2" w:space="0" w:color="CCCCCC"/>
              <w:right w:val="single" w:sz="2" w:space="0" w:color="CCCCCC"/>
            </w:tcBorders>
            <w:shd w:val="clear" w:color="auto" w:fill="1B3A5C"/>
          </w:tcPr>
          <w:p w14:paraId="15E0D166" w14:textId="77777777" w:rsidR="004A4E46" w:rsidRDefault="00000000">
            <w:r>
              <w:rPr>
                <w:b/>
                <w:bCs/>
                <w:color w:val="FFFFFF"/>
                <w:sz w:val="20"/>
                <w:szCs w:val="20"/>
              </w:rPr>
              <w:t>2023</w:t>
            </w:r>
          </w:p>
        </w:tc>
        <w:tc>
          <w:tcPr>
            <w:tcW w:w="1101" w:type="dxa"/>
            <w:tcBorders>
              <w:top w:val="single" w:sz="2" w:space="0" w:color="CCCCCC"/>
              <w:left w:val="single" w:sz="2" w:space="0" w:color="CCCCCC"/>
              <w:bottom w:val="single" w:sz="2" w:space="0" w:color="CCCCCC"/>
              <w:right w:val="single" w:sz="2" w:space="0" w:color="CCCCCC"/>
            </w:tcBorders>
            <w:shd w:val="clear" w:color="auto" w:fill="1B3A5C"/>
          </w:tcPr>
          <w:p w14:paraId="6CCDF4D8" w14:textId="77777777" w:rsidR="004A4E46" w:rsidRDefault="00000000">
            <w:r>
              <w:rPr>
                <w:b/>
                <w:bCs/>
                <w:color w:val="FFFFFF"/>
                <w:sz w:val="20"/>
                <w:szCs w:val="20"/>
              </w:rPr>
              <w:t>2024</w:t>
            </w:r>
          </w:p>
        </w:tc>
        <w:tc>
          <w:tcPr>
            <w:tcW w:w="1099" w:type="dxa"/>
            <w:tcBorders>
              <w:top w:val="single" w:sz="2" w:space="0" w:color="CCCCCC"/>
              <w:left w:val="single" w:sz="2" w:space="0" w:color="CCCCCC"/>
              <w:bottom w:val="single" w:sz="2" w:space="0" w:color="CCCCCC"/>
              <w:right w:val="single" w:sz="2" w:space="0" w:color="CCCCCC"/>
            </w:tcBorders>
            <w:shd w:val="clear" w:color="auto" w:fill="1B3A5C"/>
          </w:tcPr>
          <w:p w14:paraId="3436E48D" w14:textId="77777777" w:rsidR="004A4E46" w:rsidRDefault="00000000">
            <w:r>
              <w:rPr>
                <w:b/>
                <w:bCs/>
                <w:color w:val="FFFFFF"/>
                <w:sz w:val="20"/>
                <w:szCs w:val="20"/>
              </w:rPr>
              <w:t>2025</w:t>
            </w:r>
          </w:p>
        </w:tc>
        <w:tc>
          <w:tcPr>
            <w:tcW w:w="1827" w:type="dxa"/>
            <w:tcBorders>
              <w:top w:val="single" w:sz="2" w:space="0" w:color="CCCCCC"/>
              <w:left w:val="single" w:sz="2" w:space="0" w:color="CCCCCC"/>
              <w:bottom w:val="single" w:sz="2" w:space="0" w:color="CCCCCC"/>
              <w:right w:val="single" w:sz="2" w:space="0" w:color="CCCCCC"/>
            </w:tcBorders>
            <w:shd w:val="clear" w:color="auto" w:fill="1B3A5C"/>
          </w:tcPr>
          <w:p w14:paraId="38EAC639" w14:textId="77777777" w:rsidR="004A4E46" w:rsidRDefault="00000000">
            <w:r>
              <w:rPr>
                <w:b/>
                <w:bCs/>
                <w:color w:val="FFFFFF"/>
                <w:sz w:val="20"/>
                <w:szCs w:val="20"/>
              </w:rPr>
              <w:t>2026 (proj.)</w:t>
            </w:r>
          </w:p>
        </w:tc>
      </w:tr>
      <w:tr w:rsidR="004A4E46" w14:paraId="0C5D196F" w14:textId="77777777">
        <w:tc>
          <w:tcPr>
            <w:tcW w:w="1500" w:type="dxa"/>
            <w:tcBorders>
              <w:top w:val="single" w:sz="2" w:space="0" w:color="CCCCCC"/>
              <w:left w:val="single" w:sz="2" w:space="0" w:color="CCCCCC"/>
              <w:bottom w:val="single" w:sz="2" w:space="0" w:color="CCCCCC"/>
              <w:right w:val="single" w:sz="2" w:space="0" w:color="CCCCCC"/>
            </w:tcBorders>
          </w:tcPr>
          <w:p w14:paraId="598B2156" w14:textId="77777777" w:rsidR="004A4E46" w:rsidRDefault="00000000">
            <w:pPr>
              <w:spacing w:after="40" w:line="276" w:lineRule="auto"/>
            </w:pPr>
            <w:r>
              <w:rPr>
                <w:b/>
                <w:bCs/>
                <w:color w:val="333333"/>
                <w:sz w:val="20"/>
                <w:szCs w:val="20"/>
              </w:rPr>
              <w:t>Ventes (Md$, SIA)</w:t>
            </w:r>
          </w:p>
        </w:tc>
        <w:tc>
          <w:tcPr>
            <w:tcW w:w="1100" w:type="dxa"/>
            <w:tcBorders>
              <w:top w:val="single" w:sz="2" w:space="0" w:color="CCCCCC"/>
              <w:left w:val="single" w:sz="2" w:space="0" w:color="CCCCCC"/>
              <w:bottom w:val="single" w:sz="2" w:space="0" w:color="CCCCCC"/>
              <w:right w:val="single" w:sz="2" w:space="0" w:color="CCCCCC"/>
            </w:tcBorders>
          </w:tcPr>
          <w:p w14:paraId="498ACEFC" w14:textId="77777777" w:rsidR="004A4E46" w:rsidRDefault="00000000">
            <w:pPr>
              <w:spacing w:after="40" w:line="276" w:lineRule="auto"/>
            </w:pPr>
            <w:r>
              <w:rPr>
                <w:color w:val="333333"/>
                <w:sz w:val="20"/>
                <w:szCs w:val="20"/>
              </w:rPr>
              <w:t>440</w:t>
            </w:r>
          </w:p>
        </w:tc>
        <w:tc>
          <w:tcPr>
            <w:tcW w:w="1099" w:type="dxa"/>
            <w:tcBorders>
              <w:top w:val="single" w:sz="2" w:space="0" w:color="CCCCCC"/>
              <w:left w:val="single" w:sz="2" w:space="0" w:color="CCCCCC"/>
              <w:bottom w:val="single" w:sz="2" w:space="0" w:color="CCCCCC"/>
              <w:right w:val="single" w:sz="2" w:space="0" w:color="CCCCCC"/>
            </w:tcBorders>
          </w:tcPr>
          <w:p w14:paraId="6D338537" w14:textId="77777777" w:rsidR="004A4E46" w:rsidRDefault="00000000">
            <w:pPr>
              <w:spacing w:after="40" w:line="276" w:lineRule="auto"/>
            </w:pPr>
            <w:r>
              <w:rPr>
                <w:color w:val="333333"/>
                <w:sz w:val="20"/>
                <w:szCs w:val="20"/>
              </w:rPr>
              <w:t>556</w:t>
            </w:r>
          </w:p>
        </w:tc>
        <w:tc>
          <w:tcPr>
            <w:tcW w:w="1100" w:type="dxa"/>
            <w:tcBorders>
              <w:top w:val="single" w:sz="2" w:space="0" w:color="CCCCCC"/>
              <w:left w:val="single" w:sz="2" w:space="0" w:color="CCCCCC"/>
              <w:bottom w:val="single" w:sz="2" w:space="0" w:color="CCCCCC"/>
              <w:right w:val="single" w:sz="2" w:space="0" w:color="CCCCCC"/>
            </w:tcBorders>
          </w:tcPr>
          <w:p w14:paraId="6C8A8FDB" w14:textId="77777777" w:rsidR="004A4E46" w:rsidRDefault="00000000">
            <w:pPr>
              <w:spacing w:after="40" w:line="276" w:lineRule="auto"/>
            </w:pPr>
            <w:r>
              <w:rPr>
                <w:color w:val="333333"/>
                <w:sz w:val="20"/>
                <w:szCs w:val="20"/>
              </w:rPr>
              <w:t>527</w:t>
            </w:r>
          </w:p>
        </w:tc>
        <w:tc>
          <w:tcPr>
            <w:tcW w:w="1101" w:type="dxa"/>
            <w:tcBorders>
              <w:top w:val="single" w:sz="2" w:space="0" w:color="CCCCCC"/>
              <w:left w:val="single" w:sz="2" w:space="0" w:color="CCCCCC"/>
              <w:bottom w:val="single" w:sz="2" w:space="0" w:color="CCCCCC"/>
              <w:right w:val="single" w:sz="2" w:space="0" w:color="CCCCCC"/>
            </w:tcBorders>
          </w:tcPr>
          <w:p w14:paraId="1ABDAE96" w14:textId="77777777" w:rsidR="004A4E46" w:rsidRDefault="00000000">
            <w:pPr>
              <w:spacing w:after="40" w:line="276" w:lineRule="auto"/>
            </w:pPr>
            <w:r>
              <w:rPr>
                <w:color w:val="333333"/>
                <w:sz w:val="20"/>
                <w:szCs w:val="20"/>
              </w:rPr>
              <w:t>631</w:t>
            </w:r>
          </w:p>
        </w:tc>
        <w:tc>
          <w:tcPr>
            <w:tcW w:w="1099" w:type="dxa"/>
            <w:tcBorders>
              <w:top w:val="single" w:sz="2" w:space="0" w:color="CCCCCC"/>
              <w:left w:val="single" w:sz="2" w:space="0" w:color="CCCCCC"/>
              <w:bottom w:val="single" w:sz="2" w:space="0" w:color="CCCCCC"/>
              <w:right w:val="single" w:sz="2" w:space="0" w:color="CCCCCC"/>
            </w:tcBorders>
          </w:tcPr>
          <w:p w14:paraId="79DF64DD" w14:textId="77777777" w:rsidR="004A4E46" w:rsidRDefault="00000000">
            <w:pPr>
              <w:spacing w:after="40" w:line="276" w:lineRule="auto"/>
            </w:pPr>
            <w:r>
              <w:rPr>
                <w:color w:val="C0392B"/>
                <w:sz w:val="20"/>
                <w:szCs w:val="20"/>
              </w:rPr>
              <w:t>792</w:t>
            </w:r>
          </w:p>
        </w:tc>
        <w:tc>
          <w:tcPr>
            <w:tcW w:w="1827" w:type="dxa"/>
            <w:tcBorders>
              <w:top w:val="single" w:sz="2" w:space="0" w:color="CCCCCC"/>
              <w:left w:val="single" w:sz="2" w:space="0" w:color="CCCCCC"/>
              <w:bottom w:val="single" w:sz="2" w:space="0" w:color="CCCCCC"/>
              <w:right w:val="single" w:sz="2" w:space="0" w:color="CCCCCC"/>
            </w:tcBorders>
          </w:tcPr>
          <w:p w14:paraId="0A2D7138" w14:textId="77777777" w:rsidR="004A4E46" w:rsidRDefault="00000000">
            <w:pPr>
              <w:spacing w:after="40" w:line="276" w:lineRule="auto"/>
            </w:pPr>
            <w:r>
              <w:rPr>
                <w:b/>
                <w:bCs/>
                <w:color w:val="C0392B"/>
                <w:sz w:val="20"/>
                <w:szCs w:val="20"/>
              </w:rPr>
              <w:t>~975–1 000</w:t>
            </w:r>
          </w:p>
        </w:tc>
      </w:tr>
      <w:tr w:rsidR="004A4E46" w14:paraId="6C167F27" w14:textId="77777777">
        <w:tc>
          <w:tcPr>
            <w:tcW w:w="1500" w:type="dxa"/>
            <w:tcBorders>
              <w:top w:val="single" w:sz="2" w:space="0" w:color="CCCCCC"/>
              <w:left w:val="single" w:sz="2" w:space="0" w:color="CCCCCC"/>
              <w:bottom w:val="single" w:sz="2" w:space="0" w:color="CCCCCC"/>
              <w:right w:val="single" w:sz="2" w:space="0" w:color="CCCCCC"/>
            </w:tcBorders>
          </w:tcPr>
          <w:p w14:paraId="6AA5719E" w14:textId="77777777" w:rsidR="004A4E46" w:rsidRDefault="00000000">
            <w:pPr>
              <w:spacing w:after="40" w:line="276" w:lineRule="auto"/>
            </w:pPr>
            <w:r>
              <w:rPr>
                <w:b/>
                <w:bCs/>
                <w:color w:val="333333"/>
                <w:sz w:val="20"/>
                <w:szCs w:val="20"/>
              </w:rPr>
              <w:t>Croissance (%)</w:t>
            </w:r>
          </w:p>
        </w:tc>
        <w:tc>
          <w:tcPr>
            <w:tcW w:w="1100" w:type="dxa"/>
            <w:tcBorders>
              <w:top w:val="single" w:sz="2" w:space="0" w:color="CCCCCC"/>
              <w:left w:val="single" w:sz="2" w:space="0" w:color="CCCCCC"/>
              <w:bottom w:val="single" w:sz="2" w:space="0" w:color="CCCCCC"/>
              <w:right w:val="single" w:sz="2" w:space="0" w:color="CCCCCC"/>
            </w:tcBorders>
          </w:tcPr>
          <w:p w14:paraId="6804A060" w14:textId="77777777" w:rsidR="004A4E46" w:rsidRDefault="00000000">
            <w:pPr>
              <w:spacing w:after="40" w:line="276" w:lineRule="auto"/>
            </w:pPr>
            <w:r>
              <w:rPr>
                <w:color w:val="333333"/>
                <w:sz w:val="20"/>
                <w:szCs w:val="20"/>
              </w:rPr>
              <w:t>+6,8 %</w:t>
            </w:r>
          </w:p>
        </w:tc>
        <w:tc>
          <w:tcPr>
            <w:tcW w:w="1099" w:type="dxa"/>
            <w:tcBorders>
              <w:top w:val="single" w:sz="2" w:space="0" w:color="CCCCCC"/>
              <w:left w:val="single" w:sz="2" w:space="0" w:color="CCCCCC"/>
              <w:bottom w:val="single" w:sz="2" w:space="0" w:color="CCCCCC"/>
              <w:right w:val="single" w:sz="2" w:space="0" w:color="CCCCCC"/>
            </w:tcBorders>
          </w:tcPr>
          <w:p w14:paraId="148964E2" w14:textId="77777777" w:rsidR="004A4E46" w:rsidRDefault="00000000">
            <w:pPr>
              <w:spacing w:after="40" w:line="276" w:lineRule="auto"/>
            </w:pPr>
            <w:r>
              <w:rPr>
                <w:color w:val="333333"/>
                <w:sz w:val="20"/>
                <w:szCs w:val="20"/>
              </w:rPr>
              <w:t>+3,3 %</w:t>
            </w:r>
          </w:p>
        </w:tc>
        <w:tc>
          <w:tcPr>
            <w:tcW w:w="1100" w:type="dxa"/>
            <w:tcBorders>
              <w:top w:val="single" w:sz="2" w:space="0" w:color="CCCCCC"/>
              <w:left w:val="single" w:sz="2" w:space="0" w:color="CCCCCC"/>
              <w:bottom w:val="single" w:sz="2" w:space="0" w:color="CCCCCC"/>
              <w:right w:val="single" w:sz="2" w:space="0" w:color="CCCCCC"/>
            </w:tcBorders>
          </w:tcPr>
          <w:p w14:paraId="75EFFC0E" w14:textId="77777777" w:rsidR="004A4E46" w:rsidRDefault="00000000">
            <w:pPr>
              <w:spacing w:after="40" w:line="276" w:lineRule="auto"/>
            </w:pPr>
            <w:r>
              <w:rPr>
                <w:color w:val="333333"/>
                <w:sz w:val="20"/>
                <w:szCs w:val="20"/>
              </w:rPr>
              <w:t>-8,2 %</w:t>
            </w:r>
          </w:p>
        </w:tc>
        <w:tc>
          <w:tcPr>
            <w:tcW w:w="1101" w:type="dxa"/>
            <w:tcBorders>
              <w:top w:val="single" w:sz="2" w:space="0" w:color="CCCCCC"/>
              <w:left w:val="single" w:sz="2" w:space="0" w:color="CCCCCC"/>
              <w:bottom w:val="single" w:sz="2" w:space="0" w:color="CCCCCC"/>
              <w:right w:val="single" w:sz="2" w:space="0" w:color="CCCCCC"/>
            </w:tcBorders>
          </w:tcPr>
          <w:p w14:paraId="12A589A5" w14:textId="77777777" w:rsidR="004A4E46" w:rsidRDefault="00000000">
            <w:pPr>
              <w:spacing w:after="40" w:line="276" w:lineRule="auto"/>
            </w:pPr>
            <w:r>
              <w:rPr>
                <w:color w:val="333333"/>
                <w:sz w:val="20"/>
                <w:szCs w:val="20"/>
              </w:rPr>
              <w:t>+19,1 %</w:t>
            </w:r>
          </w:p>
        </w:tc>
        <w:tc>
          <w:tcPr>
            <w:tcW w:w="1099" w:type="dxa"/>
            <w:tcBorders>
              <w:top w:val="single" w:sz="2" w:space="0" w:color="CCCCCC"/>
              <w:left w:val="single" w:sz="2" w:space="0" w:color="CCCCCC"/>
              <w:bottom w:val="single" w:sz="2" w:space="0" w:color="CCCCCC"/>
              <w:right w:val="single" w:sz="2" w:space="0" w:color="CCCCCC"/>
            </w:tcBorders>
          </w:tcPr>
          <w:p w14:paraId="739E296C" w14:textId="77777777" w:rsidR="004A4E46" w:rsidRDefault="00000000">
            <w:pPr>
              <w:spacing w:after="40" w:line="276" w:lineRule="auto"/>
            </w:pPr>
            <w:r>
              <w:rPr>
                <w:color w:val="333333"/>
                <w:sz w:val="20"/>
                <w:szCs w:val="20"/>
              </w:rPr>
              <w:t>+25,6 %</w:t>
            </w:r>
          </w:p>
        </w:tc>
        <w:tc>
          <w:tcPr>
            <w:tcW w:w="1827" w:type="dxa"/>
            <w:tcBorders>
              <w:top w:val="single" w:sz="2" w:space="0" w:color="CCCCCC"/>
              <w:left w:val="single" w:sz="2" w:space="0" w:color="CCCCCC"/>
              <w:bottom w:val="single" w:sz="2" w:space="0" w:color="CCCCCC"/>
              <w:right w:val="single" w:sz="2" w:space="0" w:color="CCCCCC"/>
            </w:tcBorders>
          </w:tcPr>
          <w:p w14:paraId="15A81411" w14:textId="77777777" w:rsidR="004A4E46" w:rsidRDefault="00000000">
            <w:pPr>
              <w:spacing w:after="40" w:line="276" w:lineRule="auto"/>
            </w:pPr>
            <w:r>
              <w:rPr>
                <w:color w:val="333333"/>
                <w:sz w:val="20"/>
                <w:szCs w:val="20"/>
              </w:rPr>
              <w:t>+23–26 %</w:t>
            </w:r>
          </w:p>
        </w:tc>
      </w:tr>
    </w:tbl>
    <w:p w14:paraId="3618F71A" w14:textId="77777777" w:rsidR="004A4E46" w:rsidRDefault="004A4E46">
      <w:pPr>
        <w:spacing w:after="80"/>
      </w:pPr>
    </w:p>
    <w:p w14:paraId="76CC64B4" w14:textId="77777777" w:rsidR="004A4E46" w:rsidRPr="00EB01F1" w:rsidRDefault="00000000">
      <w:pPr>
        <w:spacing w:after="160" w:line="312" w:lineRule="auto"/>
        <w:rPr>
          <w:lang w:val="fr-FR"/>
        </w:rPr>
      </w:pPr>
      <w:r>
        <w:rPr>
          <w:b/>
          <w:bCs/>
          <w:color w:val="333333"/>
          <w:sz w:val="20"/>
          <w:szCs w:val="20"/>
          <w:lang w:val="fr-FR"/>
        </w:rPr>
        <w:t>Tableau 5.</w:t>
      </w:r>
      <w:r>
        <w:rPr>
          <w:i/>
          <w:iCs/>
          <w:color w:val="333333"/>
          <w:sz w:val="20"/>
          <w:szCs w:val="20"/>
          <w:lang w:val="fr-FR"/>
        </w:rPr>
        <w:t xml:space="preserve"> Ventes mondiales de semi-conducteurs, 2020–2026. Sources : SIA/WSTS (fév. 2025, fév. 2026). La projection 2026 est fondée sur la prévision WSTS automne 2025 (975,4 Md$) et la déclaration SIA de février 2026.</w:t>
      </w:r>
    </w:p>
    <w:p w14:paraId="1A403971" w14:textId="77777777" w:rsidR="004A4E46" w:rsidRPr="00EB01F1" w:rsidRDefault="00000000">
      <w:pPr>
        <w:pBdr>
          <w:top w:val="single" w:sz="2" w:space="8" w:color="2E75B6"/>
          <w:bottom w:val="single" w:sz="2" w:space="8" w:color="2E75B6"/>
        </w:pBdr>
        <w:shd w:val="clear" w:color="auto" w:fill="EBF5FB"/>
        <w:spacing w:before="200" w:after="80"/>
        <w:jc w:val="center"/>
        <w:rPr>
          <w:lang w:val="fr-FR"/>
        </w:rPr>
      </w:pPr>
      <w:r>
        <w:rPr>
          <w:b/>
          <w:bCs/>
          <w:color w:val="2E75B6"/>
          <w:sz w:val="22"/>
          <w:szCs w:val="22"/>
          <w:lang w:val="fr-FR"/>
        </w:rPr>
        <w:t>[Graphique G2 — Ventes mondiales de semi-conducteurs 2020–2026 (Md$, SIA/WSTS) avec segmentation logique/mémoire]</w:t>
      </w:r>
    </w:p>
    <w:p w14:paraId="2CE854D5" w14:textId="77777777" w:rsidR="004A4E46" w:rsidRPr="00EB01F1" w:rsidRDefault="00000000">
      <w:pPr>
        <w:spacing w:after="200"/>
        <w:jc w:val="center"/>
        <w:rPr>
          <w:lang w:val="fr-FR"/>
        </w:rPr>
      </w:pPr>
      <w:r>
        <w:rPr>
          <w:b/>
          <w:bCs/>
          <w:color w:val="333333"/>
          <w:sz w:val="19"/>
          <w:szCs w:val="19"/>
          <w:lang w:val="fr-FR"/>
        </w:rPr>
        <w:t>Graphique G2.</w:t>
      </w:r>
      <w:r>
        <w:rPr>
          <w:i/>
          <w:iCs/>
          <w:color w:val="555555"/>
          <w:sz w:val="19"/>
          <w:szCs w:val="19"/>
          <w:lang w:val="fr-FR"/>
        </w:rPr>
        <w:t xml:space="preserve"> Ventes mondiales de semi-conducteurs 2020–2026 (Md$, SIA/WSTS) avec segmentation logique/mémoire.</w:t>
      </w:r>
    </w:p>
    <w:p w14:paraId="680B2C5E" w14:textId="77777777" w:rsidR="004A4E46" w:rsidRPr="00EB01F1" w:rsidRDefault="00000000">
      <w:pPr>
        <w:pStyle w:val="Titre3"/>
        <w:rPr>
          <w:lang w:val="fr-FR"/>
        </w:rPr>
      </w:pPr>
      <w:r>
        <w:rPr>
          <w:lang w:val="fr-FR"/>
        </w:rPr>
        <w:t>3.2.2 La question du périmètre : SIA vs McKinsey</w:t>
      </w:r>
    </w:p>
    <w:p w14:paraId="0FB20CCF" w14:textId="77777777" w:rsidR="004A4E46" w:rsidRPr="00EB01F1" w:rsidRDefault="00000000">
      <w:pPr>
        <w:spacing w:after="160" w:line="312" w:lineRule="auto"/>
        <w:jc w:val="both"/>
        <w:rPr>
          <w:lang w:val="fr-FR"/>
        </w:rPr>
      </w:pPr>
      <w:r>
        <w:rPr>
          <w:color w:val="333333"/>
          <w:lang w:val="fr-FR"/>
        </w:rPr>
        <w:t>Comme signalé au Chapitre II, un écart méthodologique notable existe entre les données SIA/WSTS et les estimations McKinsey. La SIA recense les ventes de semi-</w:t>
        <w:lastRenderedPageBreak/>
        <w:t xml:space="preserve">conducteurs au sens strict (composants vendus par les fabricants). McKinsey (janvier 2026) adopte un périmètre élargi incluant la valeur des </w:t>
      </w:r>
      <w:r>
        <w:rPr>
          <w:i/>
          <w:iCs/>
          <w:color w:val="333333"/>
          <w:lang w:val="fr-FR"/>
        </w:rPr>
        <w:t>captive designers</w:t>
      </w:r>
      <w:r>
        <w:rPr>
          <w:color w:val="333333"/>
          <w:lang w:val="fr-FR"/>
        </w:rPr>
        <w:t xml:space="preserve"> (Apple, Amazon, Tesla, Google), c’est-à-dire la valeur économique des puces conçues en interne mais fabriquées en sous-traitance. Sous ce périmètre élargi, McKinsey évalue le marché à environ 775 Md$ en 2024 et projette 1,5 à 1,8 Tn$ en 2030.</w:t>
      </w:r>
      <w:r>
        <w:rPr>
          <w:color w:val="2E75B6"/>
          <w:sz w:val="18"/>
          <w:szCs w:val="18"/>
          <w:vertAlign w:val="superscript"/>
          <w:lang w:val="fr-FR"/>
        </w:rPr>
        <w:t>9</w:t>
      </w:r>
      <w:r>
        <w:rPr>
          <w:color w:val="333333"/>
          <w:lang w:val="fr-FR"/>
        </w:rPr>
        <w:t xml:space="preserve"> Le périmètre élargi est plus pertinent pour notre analyse car il capture la valeur complète de la chaîne IA, y compris les investissements de conception des hyperscalers.</w:t>
      </w:r>
    </w:p>
    <w:p w14:paraId="3CA221F0" w14:textId="77777777" w:rsidR="004A4E46" w:rsidRPr="00EB01F1" w:rsidRDefault="00000000">
      <w:pPr>
        <w:pStyle w:val="Titre3"/>
        <w:rPr>
          <w:lang w:val="fr-FR"/>
        </w:rPr>
      </w:pPr>
      <w:r>
        <w:rPr>
          <w:lang w:val="fr-FR"/>
        </w:rPr>
        <w:t>3.2.3 La concentration régionale des capacités de production</w:t>
      </w:r>
    </w:p>
    <w:p w14:paraId="32FCCBA1" w14:textId="77777777" w:rsidR="004A4E46" w:rsidRPr="00EB01F1" w:rsidRDefault="00000000">
      <w:pPr>
        <w:spacing w:after="160" w:line="312" w:lineRule="auto"/>
        <w:jc w:val="both"/>
        <w:rPr>
          <w:lang w:val="fr-FR"/>
        </w:rPr>
      </w:pPr>
      <w:r>
        <w:rPr>
          <w:color w:val="333333"/>
          <w:lang w:val="fr-FR"/>
        </w:rPr>
        <w:t>La répartition géographique des capacités de fonderie constitue un facteur clé de vulnérabilité. Taïwan (TSMC) concentre l’essentiel de la production de pointe (nœuds inférieurs à 7 nm). Les États-Unis représentent environ 10 % de la capacité mondiale installée mais augmentent rapidement (le Chips Act a généré près de 500 Md$ d’investissements privés annoncés, avec un objectif de triplement de la capacité US d’ici 2032).</w:t>
      </w:r>
      <w:r>
        <w:rPr>
          <w:color w:val="2E75B6"/>
          <w:sz w:val="18"/>
          <w:szCs w:val="18"/>
          <w:vertAlign w:val="superscript"/>
          <w:lang w:val="fr-FR"/>
        </w:rPr>
        <w:t>10</w:t>
      </w:r>
      <w:r>
        <w:rPr>
          <w:color w:val="333333"/>
          <w:lang w:val="fr-FR"/>
        </w:rPr>
        <w:t xml:space="preserve"> L’UE représente environ 8 % de la capacité mondiale, un chiffre que le Chips Act européen (43 Md€) vise à porter à 20 % d’ici 2030, un objectif jugé irréaliste par de nombreux observateurs. La Chine, malgré les restrictions, progresse de 21 % vers un objectif de 30 % de la capacité installée en 2030, essentiellement sur des nœuds matures (28 nm et supérieurs).</w:t>
      </w:r>
    </w:p>
    <w:p w14:paraId="271CB85B" w14:textId="77777777" w:rsidR="004A4E46" w:rsidRPr="00EB01F1" w:rsidRDefault="00000000">
      <w:pPr>
        <w:rPr>
          <w:lang w:val="fr-FR"/>
        </w:rPr>
      </w:pPr>
      <w:r>
        <w:rPr>
          <w:lang w:val="fr-FR"/>
        </w:rPr>
        <w:br w:type="page"/>
      </w:r>
    </w:p>
    <w:p w14:paraId="13D93EDF" w14:textId="77777777" w:rsidR="004A4E46" w:rsidRPr="00EB01F1" w:rsidRDefault="00000000">
      <w:pPr>
        <w:pStyle w:val="Titre2"/>
        <w:spacing w:before="0"/>
        <w:rPr>
          <w:lang w:val="fr-FR"/>
        </w:rPr>
      </w:pPr>
      <w:r>
        <w:rPr>
          <w:lang w:val="fr-FR"/>
        </w:rPr>
        <w:lastRenderedPageBreak/>
        <w:t>3.3 Répartition géographique du compute IA installé</w:t>
      </w:r>
    </w:p>
    <w:p w14:paraId="104DB340" w14:textId="77777777" w:rsidR="004A4E46" w:rsidRPr="00EB01F1" w:rsidRDefault="00000000">
      <w:pPr>
        <w:pStyle w:val="Titre3"/>
        <w:rPr>
          <w:lang w:val="fr-FR"/>
        </w:rPr>
      </w:pPr>
      <w:r>
        <w:rPr>
          <w:lang w:val="fr-FR"/>
        </w:rPr>
        <w:t>3.3.1 La domination américaine : 75 % de la performance mondiale</w:t>
      </w:r>
    </w:p>
    <w:p w14:paraId="0FE2679C" w14:textId="77777777" w:rsidR="004A4E46" w:rsidRPr="00EB01F1" w:rsidRDefault="00000000">
      <w:pPr>
        <w:spacing w:after="160" w:line="312" w:lineRule="auto"/>
        <w:jc w:val="both"/>
        <w:rPr>
          <w:lang w:val="fr-FR"/>
        </w:rPr>
      </w:pPr>
      <w:r>
        <w:rPr>
          <w:color w:val="333333"/>
          <w:lang w:val="fr-FR"/>
        </w:rPr>
        <w:t>La donnée la plus significative pour notre analyse est la répartition géographique de la capacité de calcul dédiée à l’IA. Les travaux d’Epoch AI (Pilz et al., avril 2025) fournissent la meilleure estimation disponible, fondée sur un recensement de 728 clusters de GPU, couvrant 10 à 20 % de la capacité mondiale estimée.</w:t>
      </w:r>
      <w:r>
        <w:rPr>
          <w:color w:val="2E75B6"/>
          <w:sz w:val="18"/>
          <w:szCs w:val="18"/>
          <w:vertAlign w:val="superscript"/>
          <w:lang w:val="fr-FR"/>
        </w:rPr>
        <w:t>11</w:t>
      </w:r>
    </w:p>
    <w:p w14:paraId="7BAD787A" w14:textId="77777777" w:rsidR="004A4E46" w:rsidRPr="00EB01F1" w:rsidRDefault="00000000">
      <w:pPr>
        <w:spacing w:after="160" w:line="312" w:lineRule="auto"/>
        <w:ind w:firstLine="360"/>
        <w:jc w:val="both"/>
        <w:rPr>
          <w:lang w:val="fr-FR"/>
        </w:rPr>
      </w:pPr>
      <w:r>
        <w:rPr>
          <w:color w:val="333333"/>
          <w:lang w:val="fr-FR"/>
        </w:rPr>
        <w:t xml:space="preserve">Le résultat est sans appel : en mai 2025, les États-Unis concentrent environ </w:t>
      </w:r>
      <w:r>
        <w:rPr>
          <w:b/>
          <w:bCs/>
          <w:color w:val="333333"/>
          <w:lang w:val="fr-FR"/>
        </w:rPr>
        <w:t>75 % de la performance mondiale des clusters GPU</w:t>
      </w:r>
      <w:r>
        <w:rPr>
          <w:color w:val="333333"/>
          <w:lang w:val="fr-FR"/>
        </w:rPr>
        <w:t xml:space="preserve">, la Chine en détient environ 15 %, et les </w:t>
      </w:r>
      <w:r>
        <w:rPr>
          <w:b/>
          <w:bCs/>
          <w:color w:val="333333"/>
          <w:lang w:val="fr-FR"/>
        </w:rPr>
        <w:t>autres pays, y compris toute l’Europe, se partagent les 10 % restants</w:t>
      </w:r>
      <w:r>
        <w:rPr>
          <w:color w:val="333333"/>
          <w:lang w:val="fr-FR"/>
        </w:rPr>
        <w:t>. L’estimation GeoCoded/Sanchez (août 2025), qui croise Epoch AI et Georgetown University, affine ce chiffre : US 74,5 %, Chine 14,1 %, UE 4,8 %.</w:t>
      </w:r>
      <w:r>
        <w:rPr>
          <w:color w:val="2E75B6"/>
          <w:sz w:val="18"/>
          <w:szCs w:val="18"/>
          <w:vertAlign w:val="superscript"/>
          <w:lang w:val="fr-FR"/>
        </w:rPr>
        <w:t>12</w:t>
      </w:r>
      <w:r>
        <w:rPr>
          <w:color w:val="333333"/>
          <w:lang w:val="fr-FR"/>
        </w:rPr>
        <w:t xml:space="preserve"> Autrement dit, le ratio US/EU en compute IA installé est de l’ordre de </w:t>
      </w:r>
      <w:r>
        <w:rPr>
          <w:b/>
          <w:bCs/>
          <w:color w:val="333333"/>
          <w:lang w:val="fr-FR"/>
        </w:rPr>
        <w:t>15:1</w:t>
      </w:r>
      <w:r>
        <w:rPr>
          <w:color w:val="333333"/>
          <w:lang w:val="fr-FR"/>
        </w:rPr>
        <w:t xml:space="preserve"> — un écart d’une magnitude considérable.</w:t>
      </w:r>
    </w:p>
    <w:p w14:paraId="48F3D1FC" w14:textId="77777777" w:rsidR="004A4E46" w:rsidRPr="00EB01F1" w:rsidRDefault="00000000">
      <w:pPr>
        <w:spacing w:after="160" w:line="312" w:lineRule="auto"/>
        <w:ind w:firstLine="360"/>
        <w:jc w:val="both"/>
        <w:rPr>
          <w:lang w:val="fr-FR"/>
        </w:rPr>
      </w:pPr>
      <w:r>
        <w:rPr>
          <w:color w:val="333333"/>
          <w:lang w:val="fr-FR"/>
        </w:rPr>
        <w:t>Deux dynamiques expliquent cette concentration. Premièrement, la part du secteur privé dans le compute IA mondial est passée de 40 % en 2019 à 80 % en 2025, et les entreprises technologiques qui investissent massivement dans l’IA sont presque exclusivement américaines (Microsoft, Meta, Google, Amazon, xAI). Deuxièmement, la taille des clusters a explosé : les systèmes de plus de 10 000 puces étaient rares en 2019 ; en 2024, xAI a déployé un cluster Colossus de 200 000 GPU. La performance des supercalculateurs IA de pointe double tous les 9 mois.</w:t>
      </w:r>
      <w:r>
        <w:rPr>
          <w:color w:val="2E75B6"/>
          <w:sz w:val="18"/>
          <w:szCs w:val="18"/>
          <w:vertAlign w:val="superscript"/>
          <w:lang w:val="fr-FR"/>
        </w:rPr>
        <w:t>13</w:t>
      </w:r>
    </w:p>
    <w:p w14:paraId="4CCB9F84" w14:textId="77777777" w:rsidR="004A4E46" w:rsidRPr="00EB01F1" w:rsidRDefault="00000000">
      <w:pPr>
        <w:pStyle w:val="Titre3"/>
        <w:rPr>
          <w:lang w:val="fr-FR"/>
        </w:rPr>
      </w:pPr>
      <w:r>
        <w:rPr>
          <w:lang w:val="fr-FR"/>
        </w:rPr>
        <w:t>3.3.2 La puissance électrique totale du parc de puces IA</w:t>
      </w:r>
    </w:p>
    <w:p w14:paraId="3AB3652B" w14:textId="77777777" w:rsidR="004A4E46" w:rsidRPr="00EB01F1" w:rsidRDefault="00000000">
      <w:pPr>
        <w:spacing w:after="160" w:line="312" w:lineRule="auto"/>
        <w:jc w:val="both"/>
        <w:rPr>
          <w:lang w:val="fr-FR"/>
        </w:rPr>
      </w:pPr>
      <w:r>
        <w:rPr>
          <w:color w:val="333333"/>
          <w:lang w:val="fr-FR"/>
        </w:rPr>
        <w:t xml:space="preserve">Epoch AI (janvier 2026) estime la capacité électrique totale du parc mondial de puces IA à environ </w:t>
      </w:r>
      <w:r>
        <w:rPr>
          <w:b/>
          <w:bCs/>
          <w:color w:val="333333"/>
          <w:lang w:val="fr-FR"/>
        </w:rPr>
        <w:t>30 GW fin 2025</w:t>
      </w:r>
      <w:r>
        <w:rPr>
          <w:color w:val="333333"/>
          <w:lang w:val="fr-FR"/>
        </w:rPr>
        <w:t>, comparable à la consommation de pointe de l’État de New York.</w:t>
      </w:r>
      <w:r>
        <w:rPr>
          <w:color w:val="2E75B6"/>
          <w:sz w:val="18"/>
          <w:szCs w:val="18"/>
          <w:vertAlign w:val="superscript"/>
          <w:lang w:val="fr-FR"/>
        </w:rPr>
        <w:t>14</w:t>
      </w:r>
      <w:r>
        <w:rPr>
          <w:color w:val="333333"/>
          <w:lang w:val="fr-FR"/>
        </w:rPr>
        <w:t xml:space="preserve"> Cette estimation est fondée sur les ventes trimestrielles de puces IA des principaux fabricants (Nvidia, AMD, Google TPU), multipliées par leur puissance nominale (TDP) et un facteur de 2,5× pour l’infrastructure des data centers. La production mondiale de puces IA double tous les 7 mois, un rythme qui dépasse toutes les prévisions antérieures. Les cinq principaux investisseurs US en serveurs IA (Microsoft, Google, Meta, Amazon, xAI) ont annoncé 320 Md$ d’investissements en 2025, contre 230 Md$ en 2024.</w:t>
      </w:r>
    </w:p>
    <w:p w14:paraId="0F3CF0C6" w14:textId="77777777" w:rsidR="004A4E46" w:rsidRPr="00EB01F1" w:rsidRDefault="004A4E46">
      <w:pPr>
        <w:spacing w:after="80"/>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2200"/>
        <w:gridCol w:w="1799"/>
        <w:gridCol w:w="1601"/>
        <w:gridCol w:w="1600"/>
        <w:gridCol w:w="1626"/>
      </w:tblGrid>
      <w:tr w:rsidR="004A4E46" w14:paraId="669077AC" w14:textId="77777777">
        <w:tc>
          <w:tcPr>
            <w:tcW w:w="2200" w:type="dxa"/>
            <w:tcBorders>
              <w:top w:val="single" w:sz="2" w:space="0" w:color="CCCCCC"/>
              <w:left w:val="single" w:sz="2" w:space="0" w:color="CCCCCC"/>
              <w:bottom w:val="single" w:sz="2" w:space="0" w:color="CCCCCC"/>
              <w:right w:val="single" w:sz="2" w:space="0" w:color="CCCCCC"/>
            </w:tcBorders>
            <w:shd w:val="clear" w:color="auto" w:fill="1B3A5C"/>
          </w:tcPr>
          <w:p w14:paraId="2FEDA0B7" w14:textId="77777777" w:rsidR="004A4E46" w:rsidRDefault="00000000">
            <w:r>
              <w:rPr>
                <w:b/>
                <w:bCs/>
                <w:color w:val="FFFFFF"/>
                <w:sz w:val="20"/>
                <w:szCs w:val="20"/>
              </w:rPr>
              <w:t>Indicateur</w:t>
            </w:r>
          </w:p>
        </w:tc>
        <w:tc>
          <w:tcPr>
            <w:tcW w:w="1799" w:type="dxa"/>
            <w:tcBorders>
              <w:top w:val="single" w:sz="2" w:space="0" w:color="CCCCCC"/>
              <w:left w:val="single" w:sz="2" w:space="0" w:color="CCCCCC"/>
              <w:bottom w:val="single" w:sz="2" w:space="0" w:color="CCCCCC"/>
              <w:right w:val="single" w:sz="2" w:space="0" w:color="CCCCCC"/>
            </w:tcBorders>
            <w:shd w:val="clear" w:color="auto" w:fill="1B3A5C"/>
          </w:tcPr>
          <w:p w14:paraId="4A3B5C94" w14:textId="77777777" w:rsidR="004A4E46" w:rsidRDefault="00000000">
            <w:r>
              <w:rPr>
                <w:b/>
                <w:bCs/>
                <w:color w:val="FFFFFF"/>
                <w:sz w:val="20"/>
                <w:szCs w:val="20"/>
              </w:rPr>
              <w:t>États-Unis</w:t>
            </w:r>
          </w:p>
        </w:tc>
        <w:tc>
          <w:tcPr>
            <w:tcW w:w="1601" w:type="dxa"/>
            <w:tcBorders>
              <w:top w:val="single" w:sz="2" w:space="0" w:color="CCCCCC"/>
              <w:left w:val="single" w:sz="2" w:space="0" w:color="CCCCCC"/>
              <w:bottom w:val="single" w:sz="2" w:space="0" w:color="CCCCCC"/>
              <w:right w:val="single" w:sz="2" w:space="0" w:color="CCCCCC"/>
            </w:tcBorders>
            <w:shd w:val="clear" w:color="auto" w:fill="1B3A5C"/>
          </w:tcPr>
          <w:p w14:paraId="625B7A46" w14:textId="77777777" w:rsidR="004A4E46" w:rsidRDefault="00000000">
            <w:r>
              <w:rPr>
                <w:b/>
                <w:bCs/>
                <w:color w:val="FFFFFF"/>
                <w:sz w:val="20"/>
                <w:szCs w:val="20"/>
              </w:rPr>
              <w:t>Chine</w:t>
            </w:r>
          </w:p>
        </w:tc>
        <w:tc>
          <w:tcPr>
            <w:tcW w:w="1600" w:type="dxa"/>
            <w:tcBorders>
              <w:top w:val="single" w:sz="2" w:space="0" w:color="CCCCCC"/>
              <w:left w:val="single" w:sz="2" w:space="0" w:color="CCCCCC"/>
              <w:bottom w:val="single" w:sz="2" w:space="0" w:color="CCCCCC"/>
              <w:right w:val="single" w:sz="2" w:space="0" w:color="CCCCCC"/>
            </w:tcBorders>
            <w:shd w:val="clear" w:color="auto" w:fill="1B3A5C"/>
          </w:tcPr>
          <w:p w14:paraId="6A6EA778" w14:textId="77777777" w:rsidR="004A4E46" w:rsidRDefault="00000000">
            <w:r>
              <w:rPr>
                <w:b/>
                <w:bCs/>
                <w:color w:val="FFFFFF"/>
                <w:sz w:val="20"/>
                <w:szCs w:val="20"/>
              </w:rPr>
              <w:t>UE</w:t>
            </w:r>
          </w:p>
        </w:tc>
        <w:tc>
          <w:tcPr>
            <w:tcW w:w="1626" w:type="dxa"/>
            <w:tcBorders>
              <w:top w:val="single" w:sz="2" w:space="0" w:color="CCCCCC"/>
              <w:left w:val="single" w:sz="2" w:space="0" w:color="CCCCCC"/>
              <w:bottom w:val="single" w:sz="2" w:space="0" w:color="CCCCCC"/>
              <w:right w:val="single" w:sz="2" w:space="0" w:color="CCCCCC"/>
            </w:tcBorders>
            <w:shd w:val="clear" w:color="auto" w:fill="1B3A5C"/>
          </w:tcPr>
          <w:p w14:paraId="321B90D8" w14:textId="77777777" w:rsidR="004A4E46" w:rsidRDefault="00000000">
            <w:r>
              <w:rPr>
                <w:b/>
                <w:bCs/>
                <w:color w:val="FFFFFF"/>
                <w:sz w:val="20"/>
                <w:szCs w:val="20"/>
              </w:rPr>
              <w:t>Ratio US/EU</w:t>
            </w:r>
          </w:p>
        </w:tc>
      </w:tr>
      <w:tr w:rsidR="004A4E46" w14:paraId="27BFC58B" w14:textId="77777777">
        <w:tc>
          <w:tcPr>
            <w:tcW w:w="2200" w:type="dxa"/>
            <w:tcBorders>
              <w:top w:val="single" w:sz="2" w:space="0" w:color="CCCCCC"/>
              <w:left w:val="single" w:sz="2" w:space="0" w:color="CCCCCC"/>
              <w:bottom w:val="single" w:sz="2" w:space="0" w:color="CCCCCC"/>
              <w:right w:val="single" w:sz="2" w:space="0" w:color="CCCCCC"/>
            </w:tcBorders>
          </w:tcPr>
          <w:p w14:paraId="4F4BED15" w14:textId="77777777" w:rsidR="004A4E46" w:rsidRDefault="00000000">
            <w:pPr>
              <w:spacing w:after="40" w:line="276" w:lineRule="auto"/>
            </w:pPr>
            <w:r>
              <w:rPr>
                <w:b/>
                <w:bCs/>
                <w:color w:val="333333"/>
                <w:sz w:val="20"/>
                <w:szCs w:val="20"/>
              </w:rPr>
              <w:t>Part performance GPU clusters</w:t>
            </w:r>
          </w:p>
        </w:tc>
        <w:tc>
          <w:tcPr>
            <w:tcW w:w="1799" w:type="dxa"/>
            <w:tcBorders>
              <w:top w:val="single" w:sz="2" w:space="0" w:color="CCCCCC"/>
              <w:left w:val="single" w:sz="2" w:space="0" w:color="CCCCCC"/>
              <w:bottom w:val="single" w:sz="2" w:space="0" w:color="CCCCCC"/>
              <w:right w:val="single" w:sz="2" w:space="0" w:color="CCCCCC"/>
            </w:tcBorders>
          </w:tcPr>
          <w:p w14:paraId="2ED3122D" w14:textId="77777777" w:rsidR="004A4E46" w:rsidRDefault="00000000">
            <w:pPr>
              <w:spacing w:after="40" w:line="276" w:lineRule="auto"/>
            </w:pPr>
            <w:r>
              <w:rPr>
                <w:color w:val="C0392B"/>
                <w:sz w:val="20"/>
                <w:szCs w:val="20"/>
              </w:rPr>
              <w:t>~75 %</w:t>
            </w:r>
          </w:p>
        </w:tc>
        <w:tc>
          <w:tcPr>
            <w:tcW w:w="1601" w:type="dxa"/>
            <w:tcBorders>
              <w:top w:val="single" w:sz="2" w:space="0" w:color="CCCCCC"/>
              <w:left w:val="single" w:sz="2" w:space="0" w:color="CCCCCC"/>
              <w:bottom w:val="single" w:sz="2" w:space="0" w:color="CCCCCC"/>
              <w:right w:val="single" w:sz="2" w:space="0" w:color="CCCCCC"/>
            </w:tcBorders>
          </w:tcPr>
          <w:p w14:paraId="726D1020" w14:textId="77777777" w:rsidR="004A4E46" w:rsidRDefault="00000000">
            <w:pPr>
              <w:spacing w:after="40" w:line="276" w:lineRule="auto"/>
            </w:pPr>
            <w:r>
              <w:rPr>
                <w:color w:val="333333"/>
                <w:sz w:val="20"/>
                <w:szCs w:val="20"/>
              </w:rPr>
              <w:t>~15 %</w:t>
            </w:r>
          </w:p>
        </w:tc>
        <w:tc>
          <w:tcPr>
            <w:tcW w:w="1600" w:type="dxa"/>
            <w:tcBorders>
              <w:top w:val="single" w:sz="2" w:space="0" w:color="CCCCCC"/>
              <w:left w:val="single" w:sz="2" w:space="0" w:color="CCCCCC"/>
              <w:bottom w:val="single" w:sz="2" w:space="0" w:color="CCCCCC"/>
              <w:right w:val="single" w:sz="2" w:space="0" w:color="CCCCCC"/>
            </w:tcBorders>
          </w:tcPr>
          <w:p w14:paraId="5D109C47" w14:textId="77777777" w:rsidR="004A4E46" w:rsidRDefault="00000000">
            <w:pPr>
              <w:spacing w:after="40" w:line="276" w:lineRule="auto"/>
            </w:pPr>
            <w:r>
              <w:rPr>
                <w:color w:val="333333"/>
                <w:sz w:val="20"/>
                <w:szCs w:val="20"/>
              </w:rPr>
              <w:t>~5 %</w:t>
            </w:r>
          </w:p>
        </w:tc>
        <w:tc>
          <w:tcPr>
            <w:tcW w:w="1626" w:type="dxa"/>
            <w:tcBorders>
              <w:top w:val="single" w:sz="2" w:space="0" w:color="CCCCCC"/>
              <w:left w:val="single" w:sz="2" w:space="0" w:color="CCCCCC"/>
              <w:bottom w:val="single" w:sz="2" w:space="0" w:color="CCCCCC"/>
              <w:right w:val="single" w:sz="2" w:space="0" w:color="CCCCCC"/>
            </w:tcBorders>
          </w:tcPr>
          <w:p w14:paraId="614824FC" w14:textId="77777777" w:rsidR="004A4E46" w:rsidRDefault="00000000">
            <w:pPr>
              <w:spacing w:after="40" w:line="276" w:lineRule="auto"/>
            </w:pPr>
            <w:r>
              <w:rPr>
                <w:b/>
                <w:bCs/>
                <w:color w:val="C0392B"/>
                <w:sz w:val="20"/>
                <w:szCs w:val="20"/>
              </w:rPr>
              <w:t>~15:1</w:t>
            </w:r>
          </w:p>
        </w:tc>
      </w:tr>
      <w:tr w:rsidR="004A4E46" w14:paraId="6D59B0E5" w14:textId="77777777">
        <w:tc>
          <w:tcPr>
            <w:tcW w:w="2200" w:type="dxa"/>
            <w:tcBorders>
              <w:top w:val="single" w:sz="2" w:space="0" w:color="CCCCCC"/>
              <w:left w:val="single" w:sz="2" w:space="0" w:color="CCCCCC"/>
              <w:bottom w:val="single" w:sz="2" w:space="0" w:color="CCCCCC"/>
              <w:right w:val="single" w:sz="2" w:space="0" w:color="CCCCCC"/>
            </w:tcBorders>
          </w:tcPr>
          <w:p w14:paraId="030A31DA" w14:textId="77777777" w:rsidR="004A4E46" w:rsidRDefault="00000000">
            <w:pPr>
              <w:spacing w:after="40" w:line="276" w:lineRule="auto"/>
            </w:pPr>
            <w:r>
              <w:rPr>
                <w:b/>
                <w:bCs/>
                <w:color w:val="333333"/>
                <w:sz w:val="20"/>
                <w:szCs w:val="20"/>
              </w:rPr>
              <w:t>Part secteur privé (2025)</w:t>
            </w:r>
          </w:p>
        </w:tc>
        <w:tc>
          <w:tcPr>
            <w:tcW w:w="1799" w:type="dxa"/>
            <w:tcBorders>
              <w:top w:val="single" w:sz="2" w:space="0" w:color="CCCCCC"/>
              <w:left w:val="single" w:sz="2" w:space="0" w:color="CCCCCC"/>
              <w:bottom w:val="single" w:sz="2" w:space="0" w:color="CCCCCC"/>
              <w:right w:val="single" w:sz="2" w:space="0" w:color="CCCCCC"/>
            </w:tcBorders>
          </w:tcPr>
          <w:p w14:paraId="39272F32" w14:textId="77777777" w:rsidR="004A4E46" w:rsidRDefault="00000000">
            <w:pPr>
              <w:spacing w:after="40" w:line="276" w:lineRule="auto"/>
            </w:pPr>
            <w:r>
              <w:rPr>
                <w:color w:val="333333"/>
                <w:sz w:val="20"/>
                <w:szCs w:val="20"/>
              </w:rPr>
              <w:t>~65 % du global</w:t>
            </w:r>
          </w:p>
        </w:tc>
        <w:tc>
          <w:tcPr>
            <w:tcW w:w="1601" w:type="dxa"/>
            <w:tcBorders>
              <w:top w:val="single" w:sz="2" w:space="0" w:color="CCCCCC"/>
              <w:left w:val="single" w:sz="2" w:space="0" w:color="CCCCCC"/>
              <w:bottom w:val="single" w:sz="2" w:space="0" w:color="CCCCCC"/>
              <w:right w:val="single" w:sz="2" w:space="0" w:color="CCCCCC"/>
            </w:tcBorders>
          </w:tcPr>
          <w:p w14:paraId="2F4A5115" w14:textId="77777777" w:rsidR="004A4E46" w:rsidRDefault="00000000">
            <w:pPr>
              <w:spacing w:after="40" w:line="276" w:lineRule="auto"/>
            </w:pPr>
            <w:r>
              <w:rPr>
                <w:color w:val="333333"/>
                <w:sz w:val="20"/>
                <w:szCs w:val="20"/>
              </w:rPr>
              <w:t>~12 %</w:t>
            </w:r>
          </w:p>
        </w:tc>
        <w:tc>
          <w:tcPr>
            <w:tcW w:w="1600" w:type="dxa"/>
            <w:tcBorders>
              <w:top w:val="single" w:sz="2" w:space="0" w:color="CCCCCC"/>
              <w:left w:val="single" w:sz="2" w:space="0" w:color="CCCCCC"/>
              <w:bottom w:val="single" w:sz="2" w:space="0" w:color="CCCCCC"/>
              <w:right w:val="single" w:sz="2" w:space="0" w:color="CCCCCC"/>
            </w:tcBorders>
          </w:tcPr>
          <w:p w14:paraId="51155AC9" w14:textId="77777777" w:rsidR="004A4E46" w:rsidRDefault="00000000">
            <w:pPr>
              <w:spacing w:after="40" w:line="276" w:lineRule="auto"/>
            </w:pPr>
            <w:r>
              <w:rPr>
                <w:color w:val="333333"/>
                <w:sz w:val="20"/>
                <w:szCs w:val="20"/>
              </w:rPr>
              <w:t>~3 %</w:t>
            </w:r>
          </w:p>
        </w:tc>
        <w:tc>
          <w:tcPr>
            <w:tcW w:w="1626" w:type="dxa"/>
            <w:tcBorders>
              <w:top w:val="single" w:sz="2" w:space="0" w:color="CCCCCC"/>
              <w:left w:val="single" w:sz="2" w:space="0" w:color="CCCCCC"/>
              <w:bottom w:val="single" w:sz="2" w:space="0" w:color="CCCCCC"/>
              <w:right w:val="single" w:sz="2" w:space="0" w:color="CCCCCC"/>
            </w:tcBorders>
          </w:tcPr>
          <w:p w14:paraId="3B48A7C9" w14:textId="77777777" w:rsidR="004A4E46" w:rsidRDefault="00000000">
            <w:pPr>
              <w:spacing w:after="40" w:line="276" w:lineRule="auto"/>
            </w:pPr>
            <w:r>
              <w:rPr>
                <w:b/>
                <w:bCs/>
                <w:color w:val="333333"/>
                <w:sz w:val="20"/>
                <w:szCs w:val="20"/>
              </w:rPr>
              <w:t>~22:1</w:t>
            </w:r>
          </w:p>
        </w:tc>
      </w:tr>
      <w:tr w:rsidR="004A4E46" w14:paraId="481D639C" w14:textId="77777777">
        <w:tc>
          <w:tcPr>
            <w:tcW w:w="2200" w:type="dxa"/>
            <w:tcBorders>
              <w:top w:val="single" w:sz="2" w:space="0" w:color="CCCCCC"/>
              <w:left w:val="single" w:sz="2" w:space="0" w:color="CCCCCC"/>
              <w:bottom w:val="single" w:sz="2" w:space="0" w:color="CCCCCC"/>
              <w:right w:val="single" w:sz="2" w:space="0" w:color="CCCCCC"/>
            </w:tcBorders>
          </w:tcPr>
          <w:p w14:paraId="24E42A18" w14:textId="77777777" w:rsidR="004A4E46" w:rsidRDefault="00000000">
            <w:pPr>
              <w:spacing w:after="40" w:line="276" w:lineRule="auto"/>
            </w:pPr>
            <w:r>
              <w:rPr>
                <w:b/>
                <w:bCs/>
                <w:color w:val="333333"/>
                <w:sz w:val="20"/>
                <w:szCs w:val="20"/>
              </w:rPr>
              <w:lastRenderedPageBreak/>
              <w:t>Conso data centers 2024</w:t>
            </w:r>
          </w:p>
        </w:tc>
        <w:tc>
          <w:tcPr>
            <w:tcW w:w="1799" w:type="dxa"/>
            <w:tcBorders>
              <w:top w:val="single" w:sz="2" w:space="0" w:color="CCCCCC"/>
              <w:left w:val="single" w:sz="2" w:space="0" w:color="CCCCCC"/>
              <w:bottom w:val="single" w:sz="2" w:space="0" w:color="CCCCCC"/>
              <w:right w:val="single" w:sz="2" w:space="0" w:color="CCCCCC"/>
            </w:tcBorders>
          </w:tcPr>
          <w:p w14:paraId="602F9995" w14:textId="77777777" w:rsidR="004A4E46" w:rsidRDefault="00000000">
            <w:pPr>
              <w:spacing w:after="40" w:line="276" w:lineRule="auto"/>
            </w:pPr>
            <w:r>
              <w:rPr>
                <w:color w:val="333333"/>
                <w:sz w:val="20"/>
                <w:szCs w:val="20"/>
              </w:rPr>
              <w:t>180 TWh</w:t>
            </w:r>
          </w:p>
        </w:tc>
        <w:tc>
          <w:tcPr>
            <w:tcW w:w="1601" w:type="dxa"/>
            <w:tcBorders>
              <w:top w:val="single" w:sz="2" w:space="0" w:color="CCCCCC"/>
              <w:left w:val="single" w:sz="2" w:space="0" w:color="CCCCCC"/>
              <w:bottom w:val="single" w:sz="2" w:space="0" w:color="CCCCCC"/>
              <w:right w:val="single" w:sz="2" w:space="0" w:color="CCCCCC"/>
            </w:tcBorders>
          </w:tcPr>
          <w:p w14:paraId="1D23D22E" w14:textId="77777777" w:rsidR="004A4E46" w:rsidRDefault="00000000">
            <w:pPr>
              <w:spacing w:after="40" w:line="276" w:lineRule="auto"/>
            </w:pPr>
            <w:r>
              <w:rPr>
                <w:color w:val="333333"/>
                <w:sz w:val="20"/>
                <w:szCs w:val="20"/>
              </w:rPr>
              <w:t>102 TWh</w:t>
            </w:r>
          </w:p>
        </w:tc>
        <w:tc>
          <w:tcPr>
            <w:tcW w:w="1600" w:type="dxa"/>
            <w:tcBorders>
              <w:top w:val="single" w:sz="2" w:space="0" w:color="CCCCCC"/>
              <w:left w:val="single" w:sz="2" w:space="0" w:color="CCCCCC"/>
              <w:bottom w:val="single" w:sz="2" w:space="0" w:color="CCCCCC"/>
              <w:right w:val="single" w:sz="2" w:space="0" w:color="CCCCCC"/>
            </w:tcBorders>
          </w:tcPr>
          <w:p w14:paraId="0242FB84" w14:textId="77777777" w:rsidR="004A4E46" w:rsidRDefault="00000000">
            <w:pPr>
              <w:spacing w:after="40" w:line="276" w:lineRule="auto"/>
            </w:pPr>
            <w:r>
              <w:rPr>
                <w:color w:val="333333"/>
                <w:sz w:val="20"/>
                <w:szCs w:val="20"/>
              </w:rPr>
              <w:t>70 TWh</w:t>
            </w:r>
          </w:p>
        </w:tc>
        <w:tc>
          <w:tcPr>
            <w:tcW w:w="1626" w:type="dxa"/>
            <w:tcBorders>
              <w:top w:val="single" w:sz="2" w:space="0" w:color="CCCCCC"/>
              <w:left w:val="single" w:sz="2" w:space="0" w:color="CCCCCC"/>
              <w:bottom w:val="single" w:sz="2" w:space="0" w:color="CCCCCC"/>
              <w:right w:val="single" w:sz="2" w:space="0" w:color="CCCCCC"/>
            </w:tcBorders>
          </w:tcPr>
          <w:p w14:paraId="5EB7B165" w14:textId="77777777" w:rsidR="004A4E46" w:rsidRDefault="00000000">
            <w:pPr>
              <w:spacing w:after="40" w:line="276" w:lineRule="auto"/>
            </w:pPr>
            <w:r>
              <w:rPr>
                <w:color w:val="333333"/>
                <w:sz w:val="20"/>
                <w:szCs w:val="20"/>
              </w:rPr>
              <w:t>2,6:1</w:t>
            </w:r>
          </w:p>
        </w:tc>
      </w:tr>
      <w:tr w:rsidR="004A4E46" w14:paraId="38ED28A2" w14:textId="77777777">
        <w:tc>
          <w:tcPr>
            <w:tcW w:w="2200" w:type="dxa"/>
            <w:tcBorders>
              <w:top w:val="single" w:sz="2" w:space="0" w:color="CCCCCC"/>
              <w:left w:val="single" w:sz="2" w:space="0" w:color="CCCCCC"/>
              <w:bottom w:val="single" w:sz="2" w:space="0" w:color="CCCCCC"/>
              <w:right w:val="single" w:sz="2" w:space="0" w:color="CCCCCC"/>
            </w:tcBorders>
          </w:tcPr>
          <w:p w14:paraId="2A832214" w14:textId="77777777" w:rsidR="004A4E46" w:rsidRDefault="00000000">
            <w:pPr>
              <w:spacing w:after="40" w:line="276" w:lineRule="auto"/>
            </w:pPr>
            <w:r>
              <w:rPr>
                <w:b/>
                <w:bCs/>
                <w:color w:val="333333"/>
                <w:sz w:val="20"/>
                <w:szCs w:val="20"/>
              </w:rPr>
              <w:t>Investissement IA 2025</w:t>
            </w:r>
          </w:p>
        </w:tc>
        <w:tc>
          <w:tcPr>
            <w:tcW w:w="1799" w:type="dxa"/>
            <w:tcBorders>
              <w:top w:val="single" w:sz="2" w:space="0" w:color="CCCCCC"/>
              <w:left w:val="single" w:sz="2" w:space="0" w:color="CCCCCC"/>
              <w:bottom w:val="single" w:sz="2" w:space="0" w:color="CCCCCC"/>
              <w:right w:val="single" w:sz="2" w:space="0" w:color="CCCCCC"/>
            </w:tcBorders>
          </w:tcPr>
          <w:p w14:paraId="03BF1AE8" w14:textId="77777777" w:rsidR="004A4E46" w:rsidRDefault="00000000">
            <w:pPr>
              <w:spacing w:after="40" w:line="276" w:lineRule="auto"/>
            </w:pPr>
            <w:r>
              <w:rPr>
                <w:color w:val="333333"/>
                <w:sz w:val="20"/>
                <w:szCs w:val="20"/>
              </w:rPr>
              <w:t>320 Md$ (5 Big Tech)</w:t>
            </w:r>
          </w:p>
        </w:tc>
        <w:tc>
          <w:tcPr>
            <w:tcW w:w="1601" w:type="dxa"/>
            <w:tcBorders>
              <w:top w:val="single" w:sz="2" w:space="0" w:color="CCCCCC"/>
              <w:left w:val="single" w:sz="2" w:space="0" w:color="CCCCCC"/>
              <w:bottom w:val="single" w:sz="2" w:space="0" w:color="CCCCCC"/>
              <w:right w:val="single" w:sz="2" w:space="0" w:color="CCCCCC"/>
            </w:tcBorders>
          </w:tcPr>
          <w:p w14:paraId="5577EE40" w14:textId="77777777" w:rsidR="004A4E46" w:rsidRDefault="00000000">
            <w:pPr>
              <w:spacing w:after="40" w:line="276" w:lineRule="auto"/>
            </w:pPr>
            <w:r>
              <w:rPr>
                <w:color w:val="333333"/>
                <w:sz w:val="20"/>
                <w:szCs w:val="20"/>
              </w:rPr>
              <w:t>n.d.</w:t>
            </w:r>
          </w:p>
        </w:tc>
        <w:tc>
          <w:tcPr>
            <w:tcW w:w="1600" w:type="dxa"/>
            <w:tcBorders>
              <w:top w:val="single" w:sz="2" w:space="0" w:color="CCCCCC"/>
              <w:left w:val="single" w:sz="2" w:space="0" w:color="CCCCCC"/>
              <w:bottom w:val="single" w:sz="2" w:space="0" w:color="CCCCCC"/>
              <w:right w:val="single" w:sz="2" w:space="0" w:color="CCCCCC"/>
            </w:tcBorders>
          </w:tcPr>
          <w:p w14:paraId="74FC0163" w14:textId="77777777" w:rsidR="004A4E46" w:rsidRDefault="00000000">
            <w:pPr>
              <w:spacing w:after="40" w:line="276" w:lineRule="auto"/>
            </w:pPr>
            <w:r>
              <w:rPr>
                <w:color w:val="333333"/>
                <w:sz w:val="20"/>
                <w:szCs w:val="20"/>
              </w:rPr>
              <w:t>~20 Md€ (EU total)</w:t>
            </w:r>
          </w:p>
        </w:tc>
        <w:tc>
          <w:tcPr>
            <w:tcW w:w="1626" w:type="dxa"/>
            <w:tcBorders>
              <w:top w:val="single" w:sz="2" w:space="0" w:color="CCCCCC"/>
              <w:left w:val="single" w:sz="2" w:space="0" w:color="CCCCCC"/>
              <w:bottom w:val="single" w:sz="2" w:space="0" w:color="CCCCCC"/>
              <w:right w:val="single" w:sz="2" w:space="0" w:color="CCCCCC"/>
            </w:tcBorders>
          </w:tcPr>
          <w:p w14:paraId="02CE21A3" w14:textId="77777777" w:rsidR="004A4E46" w:rsidRDefault="00000000">
            <w:pPr>
              <w:spacing w:after="40" w:line="276" w:lineRule="auto"/>
            </w:pPr>
            <w:r>
              <w:rPr>
                <w:b/>
                <w:bCs/>
                <w:color w:val="333333"/>
                <w:sz w:val="20"/>
                <w:szCs w:val="20"/>
              </w:rPr>
              <w:t>&gt;15:1</w:t>
            </w:r>
          </w:p>
        </w:tc>
      </w:tr>
    </w:tbl>
    <w:p w14:paraId="7D3C8E17" w14:textId="77777777" w:rsidR="004A4E46" w:rsidRDefault="004A4E46">
      <w:pPr>
        <w:spacing w:after="80"/>
      </w:pPr>
    </w:p>
    <w:p w14:paraId="172404E4" w14:textId="77777777" w:rsidR="004A4E46" w:rsidRPr="00EB01F1" w:rsidRDefault="00000000">
      <w:pPr>
        <w:spacing w:after="160" w:line="312" w:lineRule="auto"/>
        <w:rPr>
          <w:lang w:val="fr-FR"/>
        </w:rPr>
      </w:pPr>
      <w:r>
        <w:rPr>
          <w:b/>
          <w:bCs/>
          <w:color w:val="333333"/>
          <w:sz w:val="20"/>
          <w:szCs w:val="20"/>
          <w:lang w:val="fr-FR"/>
        </w:rPr>
        <w:t>Tableau 6.</w:t>
      </w:r>
      <w:r>
        <w:rPr>
          <w:i/>
          <w:iCs/>
          <w:color w:val="333333"/>
          <w:sz w:val="20"/>
          <w:szCs w:val="20"/>
          <w:lang w:val="fr-FR"/>
        </w:rPr>
        <w:t xml:space="preserve"> Indicateurs de la domination US en compute IA (2024–2025). Sources : Epoch AI (2025), IEA (2025), GeoCoded/Sanchez (2025).</w:t>
      </w:r>
    </w:p>
    <w:p w14:paraId="5BDC4E1B" w14:textId="77777777" w:rsidR="004A4E46" w:rsidRPr="00EB01F1" w:rsidRDefault="00000000">
      <w:pPr>
        <w:pBdr>
          <w:top w:val="single" w:sz="2" w:space="8" w:color="2E75B6"/>
          <w:bottom w:val="single" w:sz="2" w:space="8" w:color="2E75B6"/>
        </w:pBdr>
        <w:shd w:val="clear" w:color="auto" w:fill="EBF5FB"/>
        <w:spacing w:before="200" w:after="80"/>
        <w:jc w:val="center"/>
        <w:rPr>
          <w:lang w:val="fr-FR"/>
        </w:rPr>
      </w:pPr>
      <w:r>
        <w:rPr>
          <w:b/>
          <w:bCs/>
          <w:color w:val="2E75B6"/>
          <w:sz w:val="22"/>
          <w:szCs w:val="22"/>
          <w:lang w:val="fr-FR"/>
        </w:rPr>
        <w:t>[Graphique G3 — Répartition géographique de la performance des clusters GPU (2019–2025)]</w:t>
      </w:r>
    </w:p>
    <w:p w14:paraId="2DAD5340" w14:textId="77777777" w:rsidR="004A4E46" w:rsidRPr="00EB01F1" w:rsidRDefault="00000000">
      <w:pPr>
        <w:spacing w:after="200"/>
        <w:jc w:val="center"/>
        <w:rPr>
          <w:lang w:val="fr-FR"/>
        </w:rPr>
      </w:pPr>
      <w:r>
        <w:rPr>
          <w:b/>
          <w:bCs/>
          <w:color w:val="333333"/>
          <w:sz w:val="19"/>
          <w:szCs w:val="19"/>
          <w:lang w:val="fr-FR"/>
        </w:rPr>
        <w:t>Graphique G3.</w:t>
      </w:r>
      <w:r>
        <w:rPr>
          <w:i/>
          <w:iCs/>
          <w:color w:val="555555"/>
          <w:sz w:val="19"/>
          <w:szCs w:val="19"/>
          <w:lang w:val="fr-FR"/>
        </w:rPr>
        <w:t xml:space="preserve"> Répartition géographique de la performance des clusters GPU (2019–2025).</w:t>
      </w:r>
    </w:p>
    <w:p w14:paraId="6D5F983D" w14:textId="77777777" w:rsidR="004A4E46" w:rsidRPr="00EB01F1" w:rsidRDefault="00000000">
      <w:pPr>
        <w:pStyle w:val="Titre3"/>
        <w:rPr>
          <w:lang w:val="fr-FR"/>
        </w:rPr>
      </w:pPr>
      <w:r>
        <w:rPr>
          <w:lang w:val="fr-FR"/>
        </w:rPr>
        <w:t>3.3.3 Implications pour la métrique CACI</w:t>
      </w:r>
    </w:p>
    <w:p w14:paraId="07603BC6" w14:textId="77777777" w:rsidR="004A4E46" w:rsidRPr="00EB01F1" w:rsidRDefault="00000000">
      <w:pPr>
        <w:spacing w:after="160" w:line="312" w:lineRule="auto"/>
        <w:jc w:val="both"/>
        <w:rPr>
          <w:lang w:val="fr-FR"/>
        </w:rPr>
      </w:pPr>
      <w:r>
        <w:rPr>
          <w:color w:val="333333"/>
          <w:lang w:val="fr-FR"/>
        </w:rPr>
        <w:t xml:space="preserve">Ces données permettent une première calibration du CACI (défini au Chapitre II). Avec un ratio de compute installé US/EU d’environ 15:1, un coût énergétique EU/US d’environ 2–3×, et un PIB comparable (US ~28 Tn$ vs EU ~18 Tn$), le ratio CACI(US)/CACI(EU) se situe à environ</w:t>
      </w:r>
      <w:r>
        <w:rPr>
          <w:b/>
          <w:bCs/>
          <w:color w:val="333333"/>
          <w:lang w:val="fr-FR"/>
        </w:rPr>
        <w:t>3,4:1</w:t>
      </w:r>
      <w:r>
        <w:rPr>
          <w:color w:val="333333"/>
          <w:lang w:val="fr-FR"/>
        </w:rPr>
        <w:t xml:space="preserve"> en mode Power. Autrement dit, les acteurs américains disposent d’environ 3,4 fois plus de capacité IA effective que les acteurs européens. Le Chapitre V projettera l’évolution de ce ratio dans chaque scénario.</w:t>
      </w:r>
    </w:p>
    <w:p w14:paraId="11E1C5B8" w14:textId="77777777" w:rsidR="004A4E46" w:rsidRPr="00EB01F1" w:rsidRDefault="00000000">
      <w:pPr>
        <w:rPr>
          <w:lang w:val="fr-FR"/>
        </w:rPr>
      </w:pPr>
      <w:r>
        <w:rPr>
          <w:lang w:val="fr-FR"/>
        </w:rPr>
        <w:br w:type="page"/>
      </w:r>
    </w:p>
    <w:p w14:paraId="1D6ACC75" w14:textId="77777777" w:rsidR="004A4E46" w:rsidRPr="00EB01F1" w:rsidRDefault="00000000">
      <w:pPr>
        <w:pStyle w:val="Titre2"/>
        <w:spacing w:before="0"/>
        <w:rPr>
          <w:lang w:val="fr-FR"/>
        </w:rPr>
      </w:pPr>
      <w:r>
        <w:rPr>
          <w:lang w:val="fr-FR"/>
        </w:rPr>
        <w:lastRenderedPageBreak/>
        <w:t>3.4 Chronologie des mesures réglementaires américaines (2022–2026)</w:t>
      </w:r>
    </w:p>
    <w:p w14:paraId="25326937" w14:textId="77777777" w:rsidR="004A4E46" w:rsidRPr="00EB01F1" w:rsidRDefault="00000000">
      <w:pPr>
        <w:spacing w:after="160" w:line="312" w:lineRule="auto"/>
        <w:jc w:val="both"/>
        <w:rPr>
          <w:lang w:val="fr-FR"/>
        </w:rPr>
      </w:pPr>
      <w:r>
        <w:rPr>
          <w:color w:val="333333"/>
          <w:lang w:val="fr-FR"/>
        </w:rPr>
        <w:t>La séquence des mesures américaines de contrôle des semi-conducteurs et de l’IA constitue le fil directeur de notre hypothèse. Quatre phases sont identifiables, marquant une escalade progressive du périmètre et de l’intensité des restrictions.</w:t>
      </w:r>
    </w:p>
    <w:p w14:paraId="19FB2C1D" w14:textId="77777777" w:rsidR="004A4E46" w:rsidRPr="00EB01F1" w:rsidRDefault="00000000">
      <w:pPr>
        <w:pStyle w:val="Titre3"/>
        <w:rPr>
          <w:lang w:val="fr-FR"/>
        </w:rPr>
      </w:pPr>
      <w:r>
        <w:rPr>
          <w:lang w:val="fr-FR"/>
        </w:rPr>
        <w:t>Phase 1 — Le choc initial (7 octobre 2022)</w:t>
      </w:r>
    </w:p>
    <w:p w14:paraId="53D812CD" w14:textId="77777777" w:rsidR="004A4E46" w:rsidRPr="00EB01F1" w:rsidRDefault="00000000">
      <w:pPr>
        <w:spacing w:after="160" w:line="312" w:lineRule="auto"/>
        <w:jc w:val="both"/>
        <w:rPr>
          <w:lang w:val="fr-FR"/>
        </w:rPr>
      </w:pPr>
      <w:r>
        <w:rPr>
          <w:color w:val="333333"/>
          <w:lang w:val="fr-FR"/>
        </w:rPr>
        <w:t xml:space="preserve">Le BIS (Bureau of Industry and Security) du Département du Commerce publie une règle intérimaire finale qui transforme radicalement les export controls américains en matière de semi-conducteurs. Les mesures couvrent trois volets : (i) contrôles sur les puces de calcul avancé (GPU au-dessus de seuils de performance définis par le TTP — Total Processing Performance), (ii) contrôles sur les équipements de fabrication de semi-conducteurs (SME, incluant la lithographie EUV et DUV), et (iii) restriction des activités de </w:t>
      </w:r>
      <w:r>
        <w:rPr>
          <w:i/>
          <w:iCs/>
          <w:color w:val="333333"/>
          <w:lang w:val="fr-FR"/>
        </w:rPr>
        <w:t>US persons</w:t>
      </w:r>
      <w:r>
        <w:rPr>
          <w:color w:val="333333"/>
          <w:lang w:val="fr-FR"/>
        </w:rPr>
        <w:t xml:space="preserve"> dans le soutien à la fabrication de puces avancées en Chine.</w:t>
      </w:r>
      <w:r>
        <w:rPr>
          <w:color w:val="2E75B6"/>
          <w:sz w:val="18"/>
          <w:szCs w:val="18"/>
          <w:vertAlign w:val="superscript"/>
          <w:lang w:val="fr-FR"/>
        </w:rPr>
        <w:t>15</w:t>
      </w:r>
      <w:r>
        <w:rPr>
          <w:color w:val="333333"/>
          <w:lang w:val="fr-FR"/>
        </w:rPr>
        <w:t xml:space="preserve"> La cible est explicitement la Chine : l’objectif déclaré est d’empêcher la modernisation militaire chinoise via l’accès au compute IA. Les restrictions incluent trois nouvelles règles de Foreign Direct Product (FDP) qui étendent la juridiction américaine aux produits fabriqués hors des États-Unis si des technologies US sont utilisées dans leur production.</w:t>
      </w:r>
    </w:p>
    <w:p w14:paraId="23561A24" w14:textId="77777777" w:rsidR="004A4E46" w:rsidRPr="00EB01F1" w:rsidRDefault="00000000">
      <w:pPr>
        <w:pStyle w:val="Titre3"/>
        <w:rPr>
          <w:lang w:val="fr-FR"/>
        </w:rPr>
      </w:pPr>
      <w:r>
        <w:rPr>
          <w:lang w:val="fr-FR"/>
        </w:rPr>
        <w:t>Phase 2 — Le colmatage des failles (octobre 2023)</w:t>
      </w:r>
    </w:p>
    <w:p w14:paraId="39359E7C" w14:textId="77777777" w:rsidR="004A4E46" w:rsidRPr="00EB01F1" w:rsidRDefault="00000000">
      <w:pPr>
        <w:spacing w:after="160" w:line="312" w:lineRule="auto"/>
        <w:jc w:val="both"/>
        <w:rPr>
          <w:lang w:val="fr-FR"/>
        </w:rPr>
      </w:pPr>
      <w:r>
        <w:rPr>
          <w:color w:val="333333"/>
          <w:lang w:val="fr-FR"/>
        </w:rPr>
        <w:t>Le BIS publie deux nouvelles règles intérimaires qui renforcent et élargissent les contrôles d’octobre 2022. Les seuils techniques sont ajustés pour capturer les puces Nvidia conçues spécifiquement pour contourner les restrictions (A800, H800). Le périmètre géographique est étendu à environ 40 pays supplémentaires (Country Groups D:1, D:4 et D:5), avec un régime de licence différencié par catégorie de pays.</w:t>
      </w:r>
      <w:r>
        <w:rPr>
          <w:color w:val="2E75B6"/>
          <w:sz w:val="18"/>
          <w:szCs w:val="18"/>
          <w:vertAlign w:val="superscript"/>
          <w:lang w:val="fr-FR"/>
        </w:rPr>
        <w:t>16</w:t>
      </w:r>
      <w:r>
        <w:rPr>
          <w:color w:val="333333"/>
          <w:lang w:val="fr-FR"/>
        </w:rPr>
        <w:t xml:space="preserve"> Les contrôles sur les équipements de fabrication sont approfondis. C’est à cette phase que les acteurs européens commencent à percevoir les effets indirects des restrictions, même si l’UE n’est pas la cible primaire.</w:t>
      </w:r>
    </w:p>
    <w:p w14:paraId="590DD8DB" w14:textId="77777777" w:rsidR="004A4E46" w:rsidRPr="00EB01F1" w:rsidRDefault="00000000">
      <w:pPr>
        <w:pStyle w:val="Titre3"/>
        <w:rPr>
          <w:lang w:val="fr-FR"/>
        </w:rPr>
      </w:pPr>
      <w:r>
        <w:rPr>
          <w:lang w:val="fr-FR"/>
        </w:rPr>
        <w:t>Phase 3 — La AI Diffusion Rule (janvier 2025, Biden)</w:t>
      </w:r>
    </w:p>
    <w:p w14:paraId="03453349" w14:textId="77777777" w:rsidR="004A4E46" w:rsidRPr="00EB01F1" w:rsidRDefault="00000000">
      <w:pPr>
        <w:spacing w:after="160" w:line="312" w:lineRule="auto"/>
        <w:jc w:val="both"/>
        <w:rPr>
          <w:lang w:val="fr-FR"/>
        </w:rPr>
      </w:pPr>
      <w:r>
        <w:rPr>
          <w:color w:val="333333"/>
          <w:lang w:val="fr-FR"/>
        </w:rPr>
        <w:t xml:space="preserve">L’administration Biden publie en janvier 2025 la </w:t>
      </w:r>
      <w:r>
        <w:rPr>
          <w:i/>
          <w:iCs/>
          <w:color w:val="333333"/>
          <w:lang w:val="fr-FR"/>
        </w:rPr>
        <w:t>AI Diffusion Rule</w:t>
      </w:r>
      <w:r>
        <w:rPr>
          <w:color w:val="333333"/>
          <w:lang w:val="fr-FR"/>
        </w:rPr>
        <w:t xml:space="preserve">, qui représente un changement qualitatif. Pour la première fois, les restrictions portent non seulement sur des puces physiques mais aussi sur les </w:t>
      </w:r>
      <w:r>
        <w:rPr>
          <w:b/>
          <w:bCs/>
          <w:color w:val="333333"/>
          <w:lang w:val="fr-FR"/>
        </w:rPr>
        <w:t>poids de modèles IA</w:t>
      </w:r>
      <w:r>
        <w:rPr>
          <w:color w:val="333333"/>
          <w:lang w:val="fr-FR"/>
        </w:rPr>
        <w:t xml:space="preserve"> et sur l’</w:t>
      </w:r>
      <w:r>
        <w:rPr>
          <w:b/>
          <w:bCs/>
          <w:color w:val="333333"/>
          <w:lang w:val="fr-FR"/>
        </w:rPr>
        <w:t>accès au compute cloud</w:t>
      </w:r>
      <w:r>
        <w:rPr>
          <w:color w:val="333333"/>
          <w:lang w:val="fr-FR"/>
        </w:rPr>
        <w:t>. La règle classe 120 pays en trois catégories : (i) alliés de confiance (accès large), (ii) pays intermédiaires (quotas), (iii) pays soumis à embargo.</w:t>
      </w:r>
      <w:r>
        <w:rPr>
          <w:color w:val="2E75B6"/>
          <w:sz w:val="18"/>
          <w:szCs w:val="18"/>
          <w:vertAlign w:val="superscript"/>
          <w:lang w:val="fr-FR"/>
        </w:rPr>
        <w:t>17</w:t>
      </w:r>
      <w:r>
        <w:rPr>
          <w:color w:val="333333"/>
          <w:lang w:val="fr-FR"/>
        </w:rPr>
        <w:t xml:space="preserve"> Les réactions européennes sont vives : le Parlement européen s’alarme de restrictions qui menacent la capacité de l’UE à entraîner des modèles sur ses AI Factories. La France et l’Allemagne sont classées comme partenaires de confiance, mais d’autres États membres subissent des caps sur le volume de GPU importables.</w:t>
      </w:r>
    </w:p>
    <w:p w14:paraId="10CD3650" w14:textId="77777777" w:rsidR="004A4E46" w:rsidRPr="00EB01F1" w:rsidRDefault="00000000">
      <w:pPr>
        <w:pStyle w:val="Titre3"/>
        <w:rPr>
          <w:lang w:val="fr-FR"/>
        </w:rPr>
      </w:pPr>
      <w:r>
        <w:rPr>
          <w:lang w:val="fr-FR"/>
        </w:rPr>
        <w:lastRenderedPageBreak/>
        <w:t>Phase 4 — La rupture Trump : Section 232 et protectionnisme explicite (janvier 2026)</w:t>
      </w:r>
    </w:p>
    <w:p w14:paraId="2BA956C9" w14:textId="77777777" w:rsidR="004A4E46" w:rsidRPr="00EB01F1" w:rsidRDefault="00000000">
      <w:pPr>
        <w:spacing w:after="160" w:line="312" w:lineRule="auto"/>
        <w:jc w:val="both"/>
        <w:rPr>
          <w:lang w:val="fr-FR"/>
        </w:rPr>
      </w:pPr>
      <w:r>
        <w:rPr>
          <w:color w:val="333333"/>
          <w:lang w:val="fr-FR"/>
        </w:rPr>
        <w:t>Le 14 janvier 2026, le président Trump signe la Proclamation 11002, invoquant la Section 232 du Trade Expansion Act de 1962.</w:t>
      </w:r>
      <w:r>
        <w:rPr>
          <w:color w:val="2E75B6"/>
          <w:sz w:val="18"/>
          <w:szCs w:val="18"/>
          <w:vertAlign w:val="superscript"/>
          <w:lang w:val="fr-FR"/>
        </w:rPr>
        <w:t>18</w:t>
      </w:r>
      <w:r>
        <w:rPr>
          <w:color w:val="333333"/>
          <w:lang w:val="fr-FR"/>
        </w:rPr>
        <w:t xml:space="preserve"> Cette action marque une rupture qualitative avec les phases précédentes, pour trois raisons.</w:t>
      </w:r>
    </w:p>
    <w:p w14:paraId="1A731E96" w14:textId="77777777" w:rsidR="004A4E46" w:rsidRPr="00EB01F1" w:rsidRDefault="00000000">
      <w:pPr>
        <w:spacing w:after="160" w:line="312" w:lineRule="auto"/>
        <w:ind w:firstLine="360"/>
        <w:jc w:val="both"/>
        <w:rPr>
          <w:lang w:val="fr-FR"/>
        </w:rPr>
      </w:pPr>
      <w:r>
        <w:rPr>
          <w:b/>
          <w:bCs/>
          <w:color w:val="333333"/>
          <w:lang w:val="fr-FR"/>
        </w:rPr>
        <w:t>Premièrement, l’instrument juridique change</w:t>
      </w:r>
      <w:r>
        <w:rPr>
          <w:color w:val="333333"/>
          <w:lang w:val="fr-FR"/>
        </w:rPr>
        <w:t xml:space="preserve">. Les phases 1 à 3 relevaient des export controls (contrôle des exportations, logique de sécurité nationale défensive). La Section 232 est un instrument tarifaire (droits de douane sur les </w:t>
      </w:r>
      <w:r>
        <w:rPr>
          <w:i/>
          <w:iCs/>
          <w:color w:val="333333"/>
          <w:lang w:val="fr-FR"/>
        </w:rPr>
        <w:t>importations</w:t>
      </w:r>
      <w:r>
        <w:rPr>
          <w:color w:val="333333"/>
          <w:lang w:val="fr-FR"/>
        </w:rPr>
        <w:t>), dont la logique est protectionniste : il s’agit de protéger la production domestique, pas seulement de restreindre l’accès d’un adversaire.</w:t>
      </w:r>
    </w:p>
    <w:p w14:paraId="4D69117F" w14:textId="77777777" w:rsidR="004A4E46" w:rsidRPr="00EB01F1" w:rsidRDefault="00000000">
      <w:pPr>
        <w:spacing w:after="160" w:line="312" w:lineRule="auto"/>
        <w:ind w:firstLine="360"/>
        <w:jc w:val="both"/>
        <w:rPr>
          <w:lang w:val="fr-FR"/>
        </w:rPr>
      </w:pPr>
      <w:r>
        <w:rPr>
          <w:b/>
          <w:bCs/>
          <w:color w:val="333333"/>
          <w:lang w:val="fr-FR"/>
        </w:rPr>
        <w:t>Deuxièmement, le tarif crée un avantage concurrentiel explicite pour les entreprises américaines</w:t>
      </w:r>
      <w:r>
        <w:rPr>
          <w:color w:val="333333"/>
          <w:lang w:val="fr-FR"/>
        </w:rPr>
        <w:t xml:space="preserve">. Le tarif de 25 % frappe les GPU avancés (H200, MI325X) importés </w:t>
      </w:r>
      <w:r>
        <w:rPr>
          <w:i/>
          <w:iCs/>
          <w:color w:val="333333"/>
          <w:lang w:val="fr-FR"/>
        </w:rPr>
        <w:t>sauf</w:t>
      </w:r>
      <w:r>
        <w:rPr>
          <w:color w:val="333333"/>
          <w:lang w:val="fr-FR"/>
        </w:rPr>
        <w:t xml:space="preserve"> s’ils sont destinés à des usages domestiques américains : data centers US, R&amp;D, startups, secteur public, applications industrielles et grand public non-data center. Concrètement, une entreprise américaine utilisant ces puces sur le sol US ne paie pas le tarif ; une entreprise étrangère important les mêmes puces pour ré-export vers la Chine paie 25 %.</w:t>
      </w:r>
      <w:r>
        <w:rPr>
          <w:color w:val="2E75B6"/>
          <w:sz w:val="18"/>
          <w:szCs w:val="18"/>
          <w:vertAlign w:val="superscript"/>
          <w:lang w:val="fr-FR"/>
        </w:rPr>
        <w:t>19</w:t>
      </w:r>
    </w:p>
    <w:p w14:paraId="52D10708" w14:textId="77777777" w:rsidR="004A4E46" w:rsidRPr="00EB01F1" w:rsidRDefault="00000000">
      <w:pPr>
        <w:spacing w:after="160" w:line="312" w:lineRule="auto"/>
        <w:ind w:firstLine="360"/>
        <w:jc w:val="both"/>
        <w:rPr>
          <w:lang w:val="fr-FR"/>
        </w:rPr>
      </w:pPr>
      <w:r>
        <w:rPr>
          <w:b/>
          <w:bCs/>
          <w:color w:val="333333"/>
          <w:lang w:val="fr-FR"/>
        </w:rPr>
        <w:t>Troisièmement, la proclamation annonce un élargissement imminent</w:t>
      </w:r>
      <w:r>
        <w:rPr>
          <w:color w:val="333333"/>
          <w:lang w:val="fr-FR"/>
        </w:rPr>
        <w:t>. Le texte prévoit que le Secrétaire au Commerce et le USTR négocient dans les 90 jours avec les pays producteurs de semi-conducteurs, et que des tarifs plus larges, accompagnés d’un programme d’offset tarifaire pour les entreprises investissant dans la production US, pourraient être imposés. Le Secrétaire au Commerce doit fournir d’ici juillet 2026 un rapport sur le marché des semi-conducteurs utilisés dans les data centers américains.</w:t>
      </w:r>
      <w:r>
        <w:rPr>
          <w:color w:val="2E75B6"/>
          <w:sz w:val="18"/>
          <w:szCs w:val="18"/>
          <w:vertAlign w:val="superscript"/>
          <w:lang w:val="fr-FR"/>
        </w:rPr>
        <w:t>20</w:t>
      </w:r>
    </w:p>
    <w:p w14:paraId="3807AC34" w14:textId="77777777" w:rsidR="004A4E46" w:rsidRPr="00EB01F1" w:rsidRDefault="004A4E46">
      <w:pPr>
        <w:spacing w:after="80"/>
        <w:rPr>
          <w:lang w:val="fr-FR"/>
        </w:rPr>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1099"/>
        <w:gridCol w:w="1501"/>
        <w:gridCol w:w="3499"/>
        <w:gridCol w:w="2727"/>
      </w:tblGrid>
      <w:tr w:rsidR="004A4E46" w14:paraId="27B5EE29" w14:textId="77777777">
        <w:tc>
          <w:tcPr>
            <w:tcW w:w="1099" w:type="dxa"/>
            <w:tcBorders>
              <w:top w:val="single" w:sz="2" w:space="0" w:color="CCCCCC"/>
              <w:left w:val="single" w:sz="2" w:space="0" w:color="CCCCCC"/>
              <w:bottom w:val="single" w:sz="2" w:space="0" w:color="CCCCCC"/>
              <w:right w:val="single" w:sz="2" w:space="0" w:color="CCCCCC"/>
            </w:tcBorders>
            <w:shd w:val="clear" w:color="auto" w:fill="1B3A5C"/>
          </w:tcPr>
          <w:p w14:paraId="196608C1" w14:textId="77777777" w:rsidR="004A4E46" w:rsidRDefault="00000000">
            <w:r>
              <w:rPr>
                <w:b/>
                <w:bCs/>
                <w:color w:val="FFFFFF"/>
                <w:sz w:val="20"/>
                <w:szCs w:val="20"/>
              </w:rPr>
              <w:t>Date</w:t>
            </w:r>
          </w:p>
        </w:tc>
        <w:tc>
          <w:tcPr>
            <w:tcW w:w="1501" w:type="dxa"/>
            <w:tcBorders>
              <w:top w:val="single" w:sz="2" w:space="0" w:color="CCCCCC"/>
              <w:left w:val="single" w:sz="2" w:space="0" w:color="CCCCCC"/>
              <w:bottom w:val="single" w:sz="2" w:space="0" w:color="CCCCCC"/>
              <w:right w:val="single" w:sz="2" w:space="0" w:color="CCCCCC"/>
            </w:tcBorders>
            <w:shd w:val="clear" w:color="auto" w:fill="1B3A5C"/>
          </w:tcPr>
          <w:p w14:paraId="7A6AA0FD" w14:textId="77777777" w:rsidR="004A4E46" w:rsidRDefault="00000000">
            <w:r>
              <w:rPr>
                <w:b/>
                <w:bCs/>
                <w:color w:val="FFFFFF"/>
                <w:sz w:val="20"/>
                <w:szCs w:val="20"/>
              </w:rPr>
              <w:t>Admin.</w:t>
            </w:r>
          </w:p>
        </w:tc>
        <w:tc>
          <w:tcPr>
            <w:tcW w:w="3499" w:type="dxa"/>
            <w:tcBorders>
              <w:top w:val="single" w:sz="2" w:space="0" w:color="CCCCCC"/>
              <w:left w:val="single" w:sz="2" w:space="0" w:color="CCCCCC"/>
              <w:bottom w:val="single" w:sz="2" w:space="0" w:color="CCCCCC"/>
              <w:right w:val="single" w:sz="2" w:space="0" w:color="CCCCCC"/>
            </w:tcBorders>
            <w:shd w:val="clear" w:color="auto" w:fill="1B3A5C"/>
          </w:tcPr>
          <w:p w14:paraId="67AEF1AF" w14:textId="77777777" w:rsidR="004A4E46" w:rsidRDefault="00000000">
            <w:r>
              <w:rPr>
                <w:b/>
                <w:bCs/>
                <w:color w:val="FFFFFF"/>
                <w:sz w:val="20"/>
                <w:szCs w:val="20"/>
              </w:rPr>
              <w:t>Mesure</w:t>
            </w:r>
          </w:p>
        </w:tc>
        <w:tc>
          <w:tcPr>
            <w:tcW w:w="2727" w:type="dxa"/>
            <w:tcBorders>
              <w:top w:val="single" w:sz="2" w:space="0" w:color="CCCCCC"/>
              <w:left w:val="single" w:sz="2" w:space="0" w:color="CCCCCC"/>
              <w:bottom w:val="single" w:sz="2" w:space="0" w:color="CCCCCC"/>
              <w:right w:val="single" w:sz="2" w:space="0" w:color="CCCCCC"/>
            </w:tcBorders>
            <w:shd w:val="clear" w:color="auto" w:fill="1B3A5C"/>
          </w:tcPr>
          <w:p w14:paraId="3D7AB671" w14:textId="77777777" w:rsidR="004A4E46" w:rsidRDefault="00000000">
            <w:r>
              <w:rPr>
                <w:b/>
                <w:bCs/>
                <w:color w:val="FFFFFF"/>
                <w:sz w:val="20"/>
                <w:szCs w:val="20"/>
              </w:rPr>
              <w:t>Portée / cible</w:t>
            </w:r>
          </w:p>
        </w:tc>
      </w:tr>
      <w:tr w:rsidR="004A4E46" w14:paraId="78098001" w14:textId="77777777">
        <w:tc>
          <w:tcPr>
            <w:tcW w:w="1099" w:type="dxa"/>
            <w:tcBorders>
              <w:top w:val="single" w:sz="2" w:space="0" w:color="CCCCCC"/>
              <w:left w:val="single" w:sz="2" w:space="0" w:color="CCCCCC"/>
              <w:bottom w:val="single" w:sz="2" w:space="0" w:color="CCCCCC"/>
              <w:right w:val="single" w:sz="2" w:space="0" w:color="CCCCCC"/>
            </w:tcBorders>
          </w:tcPr>
          <w:p w14:paraId="097E5DF6" w14:textId="77777777" w:rsidR="004A4E46" w:rsidRDefault="00000000">
            <w:pPr>
              <w:spacing w:after="40" w:line="276" w:lineRule="auto"/>
            </w:pPr>
            <w:r>
              <w:rPr>
                <w:b/>
                <w:bCs/>
                <w:color w:val="333333"/>
                <w:sz w:val="20"/>
                <w:szCs w:val="20"/>
              </w:rPr>
              <w:t>Oct. 2022</w:t>
            </w:r>
          </w:p>
        </w:tc>
        <w:tc>
          <w:tcPr>
            <w:tcW w:w="1501" w:type="dxa"/>
            <w:tcBorders>
              <w:top w:val="single" w:sz="2" w:space="0" w:color="CCCCCC"/>
              <w:left w:val="single" w:sz="2" w:space="0" w:color="CCCCCC"/>
              <w:bottom w:val="single" w:sz="2" w:space="0" w:color="CCCCCC"/>
              <w:right w:val="single" w:sz="2" w:space="0" w:color="CCCCCC"/>
            </w:tcBorders>
          </w:tcPr>
          <w:p w14:paraId="4FE74948" w14:textId="77777777" w:rsidR="004A4E46" w:rsidRDefault="00000000">
            <w:pPr>
              <w:spacing w:after="40" w:line="276" w:lineRule="auto"/>
            </w:pPr>
            <w:r>
              <w:rPr>
                <w:color w:val="333333"/>
                <w:sz w:val="20"/>
                <w:szCs w:val="20"/>
              </w:rPr>
              <w:t>Biden</w:t>
            </w:r>
          </w:p>
        </w:tc>
        <w:tc>
          <w:tcPr>
            <w:tcW w:w="3499" w:type="dxa"/>
            <w:tcBorders>
              <w:top w:val="single" w:sz="2" w:space="0" w:color="CCCCCC"/>
              <w:left w:val="single" w:sz="2" w:space="0" w:color="CCCCCC"/>
              <w:bottom w:val="single" w:sz="2" w:space="0" w:color="CCCCCC"/>
              <w:right w:val="single" w:sz="2" w:space="0" w:color="CCCCCC"/>
            </w:tcBorders>
          </w:tcPr>
          <w:p w14:paraId="76F341B8" w14:textId="77777777" w:rsidR="004A4E46" w:rsidRPr="00EB01F1" w:rsidRDefault="00000000">
            <w:pPr>
              <w:spacing w:after="40" w:line="276" w:lineRule="auto"/>
              <w:rPr>
                <w:lang w:val="fr-FR"/>
              </w:rPr>
            </w:pPr>
            <w:r>
              <w:rPr>
                <w:color w:val="333333"/>
                <w:sz w:val="20"/>
                <w:szCs w:val="20"/>
                <w:lang w:val="fr-FR"/>
              </w:rPr>
              <w:t>Export controls BIS : GPU avancés, SME, US persons</w:t>
            </w:r>
          </w:p>
        </w:tc>
        <w:tc>
          <w:tcPr>
            <w:tcW w:w="2727" w:type="dxa"/>
            <w:tcBorders>
              <w:top w:val="single" w:sz="2" w:space="0" w:color="CCCCCC"/>
              <w:left w:val="single" w:sz="2" w:space="0" w:color="CCCCCC"/>
              <w:bottom w:val="single" w:sz="2" w:space="0" w:color="CCCCCC"/>
              <w:right w:val="single" w:sz="2" w:space="0" w:color="CCCCCC"/>
            </w:tcBorders>
          </w:tcPr>
          <w:p w14:paraId="6D2D25A1" w14:textId="77777777" w:rsidR="004A4E46" w:rsidRDefault="00000000">
            <w:pPr>
              <w:spacing w:after="40" w:line="276" w:lineRule="auto"/>
            </w:pPr>
            <w:r>
              <w:rPr>
                <w:color w:val="333333"/>
                <w:sz w:val="20"/>
                <w:szCs w:val="20"/>
              </w:rPr>
              <w:t>Chine (militaire)</w:t>
            </w:r>
          </w:p>
        </w:tc>
      </w:tr>
      <w:tr w:rsidR="004A4E46" w:rsidRPr="00EB01F1" w14:paraId="482B4B98" w14:textId="77777777">
        <w:tc>
          <w:tcPr>
            <w:tcW w:w="1099" w:type="dxa"/>
            <w:tcBorders>
              <w:top w:val="single" w:sz="2" w:space="0" w:color="CCCCCC"/>
              <w:left w:val="single" w:sz="2" w:space="0" w:color="CCCCCC"/>
              <w:bottom w:val="single" w:sz="2" w:space="0" w:color="CCCCCC"/>
              <w:right w:val="single" w:sz="2" w:space="0" w:color="CCCCCC"/>
            </w:tcBorders>
          </w:tcPr>
          <w:p w14:paraId="1F80A392" w14:textId="77777777" w:rsidR="004A4E46" w:rsidRDefault="00000000">
            <w:pPr>
              <w:spacing w:after="40" w:line="276" w:lineRule="auto"/>
            </w:pPr>
            <w:r>
              <w:rPr>
                <w:b/>
                <w:bCs/>
                <w:color w:val="333333"/>
                <w:sz w:val="20"/>
                <w:szCs w:val="20"/>
              </w:rPr>
              <w:t>Oct. 2023</w:t>
            </w:r>
          </w:p>
        </w:tc>
        <w:tc>
          <w:tcPr>
            <w:tcW w:w="1501" w:type="dxa"/>
            <w:tcBorders>
              <w:top w:val="single" w:sz="2" w:space="0" w:color="CCCCCC"/>
              <w:left w:val="single" w:sz="2" w:space="0" w:color="CCCCCC"/>
              <w:bottom w:val="single" w:sz="2" w:space="0" w:color="CCCCCC"/>
              <w:right w:val="single" w:sz="2" w:space="0" w:color="CCCCCC"/>
            </w:tcBorders>
          </w:tcPr>
          <w:p w14:paraId="250FDF99" w14:textId="77777777" w:rsidR="004A4E46" w:rsidRDefault="00000000">
            <w:pPr>
              <w:spacing w:after="40" w:line="276" w:lineRule="auto"/>
            </w:pPr>
            <w:r>
              <w:rPr>
                <w:color w:val="333333"/>
                <w:sz w:val="20"/>
                <w:szCs w:val="20"/>
              </w:rPr>
              <w:t>Biden</w:t>
            </w:r>
          </w:p>
        </w:tc>
        <w:tc>
          <w:tcPr>
            <w:tcW w:w="3499" w:type="dxa"/>
            <w:tcBorders>
              <w:top w:val="single" w:sz="2" w:space="0" w:color="CCCCCC"/>
              <w:left w:val="single" w:sz="2" w:space="0" w:color="CCCCCC"/>
              <w:bottom w:val="single" w:sz="2" w:space="0" w:color="CCCCCC"/>
              <w:right w:val="single" w:sz="2" w:space="0" w:color="CCCCCC"/>
            </w:tcBorders>
          </w:tcPr>
          <w:p w14:paraId="6D01B5F7" w14:textId="77777777" w:rsidR="004A4E46" w:rsidRPr="00EB01F1" w:rsidRDefault="00000000">
            <w:pPr>
              <w:spacing w:after="40" w:line="276" w:lineRule="auto"/>
              <w:rPr>
                <w:lang w:val="fr-FR"/>
              </w:rPr>
            </w:pPr>
            <w:r>
              <w:rPr>
                <w:color w:val="333333"/>
                <w:sz w:val="20"/>
                <w:szCs w:val="20"/>
                <w:lang w:val="fr-FR"/>
              </w:rPr>
              <w:t>Renforcement seuils + extension 40 pays + HBM</w:t>
            </w:r>
          </w:p>
        </w:tc>
        <w:tc>
          <w:tcPr>
            <w:tcW w:w="2727" w:type="dxa"/>
            <w:tcBorders>
              <w:top w:val="single" w:sz="2" w:space="0" w:color="CCCCCC"/>
              <w:left w:val="single" w:sz="2" w:space="0" w:color="CCCCCC"/>
              <w:bottom w:val="single" w:sz="2" w:space="0" w:color="CCCCCC"/>
              <w:right w:val="single" w:sz="2" w:space="0" w:color="CCCCCC"/>
            </w:tcBorders>
          </w:tcPr>
          <w:p w14:paraId="75AEA636" w14:textId="77777777" w:rsidR="004A4E46" w:rsidRPr="00EB01F1" w:rsidRDefault="00000000">
            <w:pPr>
              <w:spacing w:after="40" w:line="276" w:lineRule="auto"/>
              <w:rPr>
                <w:lang w:val="fr-FR"/>
              </w:rPr>
            </w:pPr>
            <w:r>
              <w:rPr>
                <w:color w:val="333333"/>
                <w:sz w:val="20"/>
                <w:szCs w:val="20"/>
                <w:lang w:val="fr-FR"/>
              </w:rPr>
              <w:t>Chine + 40 pays (D:1/D:4/D:5)</w:t>
            </w:r>
          </w:p>
        </w:tc>
      </w:tr>
      <w:tr w:rsidR="004A4E46" w14:paraId="1DDCCE89" w14:textId="77777777">
        <w:tc>
          <w:tcPr>
            <w:tcW w:w="1099" w:type="dxa"/>
            <w:tcBorders>
              <w:top w:val="single" w:sz="2" w:space="0" w:color="CCCCCC"/>
              <w:left w:val="single" w:sz="2" w:space="0" w:color="CCCCCC"/>
              <w:bottom w:val="single" w:sz="2" w:space="0" w:color="CCCCCC"/>
              <w:right w:val="single" w:sz="2" w:space="0" w:color="CCCCCC"/>
            </w:tcBorders>
          </w:tcPr>
          <w:p w14:paraId="3FFFE84D" w14:textId="77777777" w:rsidR="004A4E46" w:rsidRDefault="00000000">
            <w:pPr>
              <w:spacing w:after="40" w:line="276" w:lineRule="auto"/>
            </w:pPr>
            <w:r>
              <w:rPr>
                <w:b/>
                <w:bCs/>
                <w:color w:val="333333"/>
                <w:sz w:val="20"/>
                <w:szCs w:val="20"/>
              </w:rPr>
              <w:t>Déc. 2024</w:t>
            </w:r>
          </w:p>
        </w:tc>
        <w:tc>
          <w:tcPr>
            <w:tcW w:w="1501" w:type="dxa"/>
            <w:tcBorders>
              <w:top w:val="single" w:sz="2" w:space="0" w:color="CCCCCC"/>
              <w:left w:val="single" w:sz="2" w:space="0" w:color="CCCCCC"/>
              <w:bottom w:val="single" w:sz="2" w:space="0" w:color="CCCCCC"/>
              <w:right w:val="single" w:sz="2" w:space="0" w:color="CCCCCC"/>
            </w:tcBorders>
          </w:tcPr>
          <w:p w14:paraId="577FA2E5" w14:textId="77777777" w:rsidR="004A4E46" w:rsidRDefault="00000000">
            <w:pPr>
              <w:spacing w:after="40" w:line="276" w:lineRule="auto"/>
            </w:pPr>
            <w:r>
              <w:rPr>
                <w:color w:val="333333"/>
                <w:sz w:val="20"/>
                <w:szCs w:val="20"/>
              </w:rPr>
              <w:t>Biden</w:t>
            </w:r>
          </w:p>
        </w:tc>
        <w:tc>
          <w:tcPr>
            <w:tcW w:w="3499" w:type="dxa"/>
            <w:tcBorders>
              <w:top w:val="single" w:sz="2" w:space="0" w:color="CCCCCC"/>
              <w:left w:val="single" w:sz="2" w:space="0" w:color="CCCCCC"/>
              <w:bottom w:val="single" w:sz="2" w:space="0" w:color="CCCCCC"/>
              <w:right w:val="single" w:sz="2" w:space="0" w:color="CCCCCC"/>
            </w:tcBorders>
          </w:tcPr>
          <w:p w14:paraId="56990BA0" w14:textId="77777777" w:rsidR="004A4E46" w:rsidRPr="00EB01F1" w:rsidRDefault="00000000">
            <w:pPr>
              <w:spacing w:after="40" w:line="276" w:lineRule="auto"/>
              <w:rPr>
                <w:lang w:val="fr-FR"/>
              </w:rPr>
            </w:pPr>
            <w:r>
              <w:rPr>
                <w:color w:val="333333"/>
                <w:sz w:val="20"/>
                <w:szCs w:val="20"/>
                <w:lang w:val="fr-FR"/>
              </w:rPr>
              <w:t>Vague 3 : 24 types SME, HBM, 140 entités, ECAD</w:t>
            </w:r>
          </w:p>
        </w:tc>
        <w:tc>
          <w:tcPr>
            <w:tcW w:w="2727" w:type="dxa"/>
            <w:tcBorders>
              <w:top w:val="single" w:sz="2" w:space="0" w:color="CCCCCC"/>
              <w:left w:val="single" w:sz="2" w:space="0" w:color="CCCCCC"/>
              <w:bottom w:val="single" w:sz="2" w:space="0" w:color="CCCCCC"/>
              <w:right w:val="single" w:sz="2" w:space="0" w:color="CCCCCC"/>
            </w:tcBorders>
          </w:tcPr>
          <w:p w14:paraId="485FCA32" w14:textId="77777777" w:rsidR="004A4E46" w:rsidRDefault="00000000">
            <w:pPr>
              <w:spacing w:after="40" w:line="276" w:lineRule="auto"/>
            </w:pPr>
            <w:r>
              <w:rPr>
                <w:color w:val="333333"/>
                <w:sz w:val="20"/>
                <w:szCs w:val="20"/>
              </w:rPr>
              <w:t>Chine (chaîne complète)</w:t>
            </w:r>
          </w:p>
        </w:tc>
      </w:tr>
      <w:tr w:rsidR="004A4E46" w14:paraId="466E804C" w14:textId="77777777">
        <w:tc>
          <w:tcPr>
            <w:tcW w:w="1099" w:type="dxa"/>
            <w:tcBorders>
              <w:top w:val="single" w:sz="2" w:space="0" w:color="CCCCCC"/>
              <w:left w:val="single" w:sz="2" w:space="0" w:color="CCCCCC"/>
              <w:bottom w:val="single" w:sz="2" w:space="0" w:color="CCCCCC"/>
              <w:right w:val="single" w:sz="2" w:space="0" w:color="CCCCCC"/>
            </w:tcBorders>
          </w:tcPr>
          <w:p w14:paraId="3AEC269A" w14:textId="77777777" w:rsidR="004A4E46" w:rsidRDefault="00000000">
            <w:pPr>
              <w:spacing w:after="40" w:line="276" w:lineRule="auto"/>
            </w:pPr>
            <w:r>
              <w:rPr>
                <w:b/>
                <w:bCs/>
                <w:color w:val="333333"/>
                <w:sz w:val="20"/>
                <w:szCs w:val="20"/>
              </w:rPr>
              <w:t>Janv. 2025</w:t>
            </w:r>
          </w:p>
        </w:tc>
        <w:tc>
          <w:tcPr>
            <w:tcW w:w="1501" w:type="dxa"/>
            <w:tcBorders>
              <w:top w:val="single" w:sz="2" w:space="0" w:color="CCCCCC"/>
              <w:left w:val="single" w:sz="2" w:space="0" w:color="CCCCCC"/>
              <w:bottom w:val="single" w:sz="2" w:space="0" w:color="CCCCCC"/>
              <w:right w:val="single" w:sz="2" w:space="0" w:color="CCCCCC"/>
            </w:tcBorders>
          </w:tcPr>
          <w:p w14:paraId="1091AAB4" w14:textId="77777777" w:rsidR="004A4E46" w:rsidRDefault="00000000">
            <w:pPr>
              <w:spacing w:after="40" w:line="276" w:lineRule="auto"/>
            </w:pPr>
            <w:r>
              <w:rPr>
                <w:color w:val="333333"/>
                <w:sz w:val="20"/>
                <w:szCs w:val="20"/>
              </w:rPr>
              <w:t>Biden</w:t>
            </w:r>
          </w:p>
        </w:tc>
        <w:tc>
          <w:tcPr>
            <w:tcW w:w="3499" w:type="dxa"/>
            <w:tcBorders>
              <w:top w:val="single" w:sz="2" w:space="0" w:color="CCCCCC"/>
              <w:left w:val="single" w:sz="2" w:space="0" w:color="CCCCCC"/>
              <w:bottom w:val="single" w:sz="2" w:space="0" w:color="CCCCCC"/>
              <w:right w:val="single" w:sz="2" w:space="0" w:color="CCCCCC"/>
            </w:tcBorders>
          </w:tcPr>
          <w:p w14:paraId="3F4E7D2E" w14:textId="77777777" w:rsidR="004A4E46" w:rsidRPr="00EB01F1" w:rsidRDefault="00000000">
            <w:pPr>
              <w:spacing w:after="40" w:line="276" w:lineRule="auto"/>
              <w:rPr>
                <w:lang w:val="fr-FR"/>
              </w:rPr>
            </w:pPr>
            <w:r>
              <w:rPr>
                <w:color w:val="333333"/>
                <w:sz w:val="20"/>
                <w:szCs w:val="20"/>
                <w:lang w:val="fr-FR"/>
              </w:rPr>
              <w:t>AI Diffusion Rule : poids de modèles, cloud, 3 tiers pays</w:t>
            </w:r>
          </w:p>
        </w:tc>
        <w:tc>
          <w:tcPr>
            <w:tcW w:w="2727" w:type="dxa"/>
            <w:tcBorders>
              <w:top w:val="single" w:sz="2" w:space="0" w:color="CCCCCC"/>
              <w:left w:val="single" w:sz="2" w:space="0" w:color="CCCCCC"/>
              <w:bottom w:val="single" w:sz="2" w:space="0" w:color="CCCCCC"/>
              <w:right w:val="single" w:sz="2" w:space="0" w:color="CCCCCC"/>
            </w:tcBorders>
          </w:tcPr>
          <w:p w14:paraId="4125139F" w14:textId="77777777" w:rsidR="004A4E46" w:rsidRDefault="00000000">
            <w:pPr>
              <w:spacing w:after="40" w:line="276" w:lineRule="auto"/>
            </w:pPr>
            <w:r>
              <w:rPr>
                <w:color w:val="333333"/>
                <w:sz w:val="20"/>
                <w:szCs w:val="20"/>
              </w:rPr>
              <w:t>120+ pays (incl. effets EU)</w:t>
            </w:r>
          </w:p>
        </w:tc>
      </w:tr>
      <w:tr w:rsidR="004A4E46" w14:paraId="3D47CBEE" w14:textId="77777777">
        <w:tc>
          <w:tcPr>
            <w:tcW w:w="1099" w:type="dxa"/>
            <w:tcBorders>
              <w:top w:val="single" w:sz="2" w:space="0" w:color="CCCCCC"/>
              <w:left w:val="single" w:sz="2" w:space="0" w:color="CCCCCC"/>
              <w:bottom w:val="single" w:sz="2" w:space="0" w:color="CCCCCC"/>
              <w:right w:val="single" w:sz="2" w:space="0" w:color="CCCCCC"/>
            </w:tcBorders>
          </w:tcPr>
          <w:p w14:paraId="183CACAB" w14:textId="77777777" w:rsidR="004A4E46" w:rsidRDefault="00000000">
            <w:pPr>
              <w:spacing w:after="40" w:line="276" w:lineRule="auto"/>
            </w:pPr>
            <w:r>
              <w:rPr>
                <w:b/>
                <w:bCs/>
                <w:color w:val="333333"/>
                <w:sz w:val="20"/>
                <w:szCs w:val="20"/>
              </w:rPr>
              <w:t>Juil. 2025</w:t>
            </w:r>
          </w:p>
        </w:tc>
        <w:tc>
          <w:tcPr>
            <w:tcW w:w="1501" w:type="dxa"/>
            <w:tcBorders>
              <w:top w:val="single" w:sz="2" w:space="0" w:color="CCCCCC"/>
              <w:left w:val="single" w:sz="2" w:space="0" w:color="CCCCCC"/>
              <w:bottom w:val="single" w:sz="2" w:space="0" w:color="CCCCCC"/>
              <w:right w:val="single" w:sz="2" w:space="0" w:color="CCCCCC"/>
            </w:tcBorders>
          </w:tcPr>
          <w:p w14:paraId="6AB8D36A" w14:textId="77777777" w:rsidR="004A4E46" w:rsidRDefault="00000000">
            <w:pPr>
              <w:spacing w:after="40" w:line="276" w:lineRule="auto"/>
            </w:pPr>
            <w:r>
              <w:rPr>
                <w:color w:val="333333"/>
                <w:sz w:val="20"/>
                <w:szCs w:val="20"/>
              </w:rPr>
              <w:t>Trump</w:t>
            </w:r>
          </w:p>
        </w:tc>
        <w:tc>
          <w:tcPr>
            <w:tcW w:w="3499" w:type="dxa"/>
            <w:tcBorders>
              <w:top w:val="single" w:sz="2" w:space="0" w:color="CCCCCC"/>
              <w:left w:val="single" w:sz="2" w:space="0" w:color="CCCCCC"/>
              <w:bottom w:val="single" w:sz="2" w:space="0" w:color="CCCCCC"/>
              <w:right w:val="single" w:sz="2" w:space="0" w:color="CCCCCC"/>
            </w:tcBorders>
          </w:tcPr>
          <w:p w14:paraId="4F938BA8" w14:textId="77777777" w:rsidR="004A4E46" w:rsidRDefault="00000000">
            <w:pPr>
              <w:spacing w:after="40" w:line="276" w:lineRule="auto"/>
            </w:pPr>
            <w:r>
              <w:rPr>
                <w:color w:val="333333"/>
                <w:sz w:val="20"/>
                <w:szCs w:val="20"/>
              </w:rPr>
              <w:t>America’s AI Action Plan : dérégulation, compute US</w:t>
            </w:r>
          </w:p>
        </w:tc>
        <w:tc>
          <w:tcPr>
            <w:tcW w:w="2727" w:type="dxa"/>
            <w:tcBorders>
              <w:top w:val="single" w:sz="2" w:space="0" w:color="CCCCCC"/>
              <w:left w:val="single" w:sz="2" w:space="0" w:color="CCCCCC"/>
              <w:bottom w:val="single" w:sz="2" w:space="0" w:color="CCCCCC"/>
              <w:right w:val="single" w:sz="2" w:space="0" w:color="CCCCCC"/>
            </w:tcBorders>
          </w:tcPr>
          <w:p w14:paraId="6A61996D" w14:textId="77777777" w:rsidR="004A4E46" w:rsidRDefault="00000000">
            <w:pPr>
              <w:spacing w:after="40" w:line="276" w:lineRule="auto"/>
            </w:pPr>
            <w:r>
              <w:rPr>
                <w:color w:val="333333"/>
                <w:sz w:val="20"/>
                <w:szCs w:val="20"/>
              </w:rPr>
              <w:t>US (stratégie intérieure)</w:t>
            </w:r>
          </w:p>
        </w:tc>
      </w:tr>
      <w:tr w:rsidR="004A4E46" w14:paraId="09213357" w14:textId="77777777">
        <w:tc>
          <w:tcPr>
            <w:tcW w:w="1099" w:type="dxa"/>
            <w:tcBorders>
              <w:top w:val="single" w:sz="2" w:space="0" w:color="CCCCCC"/>
              <w:left w:val="single" w:sz="2" w:space="0" w:color="CCCCCC"/>
              <w:bottom w:val="single" w:sz="2" w:space="0" w:color="CCCCCC"/>
              <w:right w:val="single" w:sz="2" w:space="0" w:color="CCCCCC"/>
            </w:tcBorders>
          </w:tcPr>
          <w:p w14:paraId="0667416E" w14:textId="77777777" w:rsidR="004A4E46" w:rsidRDefault="00000000">
            <w:pPr>
              <w:spacing w:after="40" w:line="276" w:lineRule="auto"/>
            </w:pPr>
            <w:r>
              <w:rPr>
                <w:b/>
                <w:bCs/>
                <w:color w:val="333333"/>
                <w:sz w:val="20"/>
                <w:szCs w:val="20"/>
              </w:rPr>
              <w:t>Sept. 2025</w:t>
            </w:r>
          </w:p>
        </w:tc>
        <w:tc>
          <w:tcPr>
            <w:tcW w:w="1501" w:type="dxa"/>
            <w:tcBorders>
              <w:top w:val="single" w:sz="2" w:space="0" w:color="CCCCCC"/>
              <w:left w:val="single" w:sz="2" w:space="0" w:color="CCCCCC"/>
              <w:bottom w:val="single" w:sz="2" w:space="0" w:color="CCCCCC"/>
              <w:right w:val="single" w:sz="2" w:space="0" w:color="CCCCCC"/>
            </w:tcBorders>
          </w:tcPr>
          <w:p w14:paraId="4245D5E1" w14:textId="77777777" w:rsidR="004A4E46" w:rsidRDefault="00000000">
            <w:pPr>
              <w:spacing w:after="40" w:line="276" w:lineRule="auto"/>
            </w:pPr>
            <w:r>
              <w:rPr>
                <w:color w:val="333333"/>
                <w:sz w:val="20"/>
                <w:szCs w:val="20"/>
              </w:rPr>
              <w:t>Trump</w:t>
            </w:r>
          </w:p>
        </w:tc>
        <w:tc>
          <w:tcPr>
            <w:tcW w:w="3499" w:type="dxa"/>
            <w:tcBorders>
              <w:top w:val="single" w:sz="2" w:space="0" w:color="CCCCCC"/>
              <w:left w:val="single" w:sz="2" w:space="0" w:color="CCCCCC"/>
              <w:bottom w:val="single" w:sz="2" w:space="0" w:color="CCCCCC"/>
              <w:right w:val="single" w:sz="2" w:space="0" w:color="CCCCCC"/>
            </w:tcBorders>
          </w:tcPr>
          <w:p w14:paraId="0C2AE611" w14:textId="77777777" w:rsidR="004A4E46" w:rsidRPr="00EB01F1" w:rsidRDefault="00000000">
            <w:pPr>
              <w:spacing w:after="40" w:line="276" w:lineRule="auto"/>
              <w:rPr>
                <w:lang w:val="fr-FR"/>
              </w:rPr>
            </w:pPr>
            <w:r>
              <w:rPr>
                <w:color w:val="333333"/>
                <w:sz w:val="20"/>
                <w:szCs w:val="20"/>
                <w:lang w:val="fr-FR"/>
              </w:rPr>
              <w:t>Annonce : ventes Chine autorisées contre 25 % de recettes</w:t>
            </w:r>
          </w:p>
        </w:tc>
        <w:tc>
          <w:tcPr>
            <w:tcW w:w="2727" w:type="dxa"/>
            <w:tcBorders>
              <w:top w:val="single" w:sz="2" w:space="0" w:color="CCCCCC"/>
              <w:left w:val="single" w:sz="2" w:space="0" w:color="CCCCCC"/>
              <w:bottom w:val="single" w:sz="2" w:space="0" w:color="CCCCCC"/>
              <w:right w:val="single" w:sz="2" w:space="0" w:color="CCCCCC"/>
            </w:tcBorders>
          </w:tcPr>
          <w:p w14:paraId="64C8DF08" w14:textId="77777777" w:rsidR="004A4E46" w:rsidRDefault="00000000">
            <w:pPr>
              <w:spacing w:after="40" w:line="276" w:lineRule="auto"/>
            </w:pPr>
            <w:r>
              <w:rPr>
                <w:color w:val="C0392B"/>
                <w:sz w:val="20"/>
                <w:szCs w:val="20"/>
              </w:rPr>
              <w:t>Chine (monétisation)</w:t>
            </w:r>
          </w:p>
        </w:tc>
      </w:tr>
      <w:tr w:rsidR="004A4E46" w14:paraId="2117FCDB" w14:textId="77777777">
        <w:tc>
          <w:tcPr>
            <w:tcW w:w="1099" w:type="dxa"/>
            <w:tcBorders>
              <w:top w:val="single" w:sz="2" w:space="0" w:color="CCCCCC"/>
              <w:left w:val="single" w:sz="2" w:space="0" w:color="CCCCCC"/>
              <w:bottom w:val="single" w:sz="2" w:space="0" w:color="CCCCCC"/>
              <w:right w:val="single" w:sz="2" w:space="0" w:color="CCCCCC"/>
            </w:tcBorders>
            <w:shd w:val="clear" w:color="auto" w:fill="D5E8F0"/>
          </w:tcPr>
          <w:p w14:paraId="59BB46A1" w14:textId="77777777" w:rsidR="004A4E46" w:rsidRDefault="00000000">
            <w:pPr>
              <w:spacing w:after="40" w:line="276" w:lineRule="auto"/>
            </w:pPr>
            <w:r>
              <w:rPr>
                <w:b/>
                <w:bCs/>
                <w:color w:val="333333"/>
                <w:sz w:val="20"/>
                <w:szCs w:val="20"/>
              </w:rPr>
              <w:lastRenderedPageBreak/>
              <w:t>Janv. 2026</w:t>
            </w:r>
          </w:p>
        </w:tc>
        <w:tc>
          <w:tcPr>
            <w:tcW w:w="1501" w:type="dxa"/>
            <w:tcBorders>
              <w:top w:val="single" w:sz="2" w:space="0" w:color="CCCCCC"/>
              <w:left w:val="single" w:sz="2" w:space="0" w:color="CCCCCC"/>
              <w:bottom w:val="single" w:sz="2" w:space="0" w:color="CCCCCC"/>
              <w:right w:val="single" w:sz="2" w:space="0" w:color="CCCCCC"/>
            </w:tcBorders>
            <w:shd w:val="clear" w:color="auto" w:fill="D5E8F0"/>
          </w:tcPr>
          <w:p w14:paraId="009166E8" w14:textId="77777777" w:rsidR="004A4E46" w:rsidRDefault="00000000">
            <w:pPr>
              <w:spacing w:after="40" w:line="276" w:lineRule="auto"/>
            </w:pPr>
            <w:r>
              <w:rPr>
                <w:color w:val="333333"/>
                <w:sz w:val="20"/>
                <w:szCs w:val="20"/>
              </w:rPr>
              <w:t>Trump</w:t>
            </w:r>
          </w:p>
        </w:tc>
        <w:tc>
          <w:tcPr>
            <w:tcW w:w="3499" w:type="dxa"/>
            <w:tcBorders>
              <w:top w:val="single" w:sz="2" w:space="0" w:color="CCCCCC"/>
              <w:left w:val="single" w:sz="2" w:space="0" w:color="CCCCCC"/>
              <w:bottom w:val="single" w:sz="2" w:space="0" w:color="CCCCCC"/>
              <w:right w:val="single" w:sz="2" w:space="0" w:color="CCCCCC"/>
            </w:tcBorders>
            <w:shd w:val="clear" w:color="auto" w:fill="D5E8F0"/>
          </w:tcPr>
          <w:p w14:paraId="652592A5" w14:textId="77777777" w:rsidR="004A4E46" w:rsidRPr="00EB01F1" w:rsidRDefault="00000000">
            <w:pPr>
              <w:spacing w:after="40" w:line="276" w:lineRule="auto"/>
              <w:rPr>
                <w:lang w:val="fr-FR"/>
              </w:rPr>
            </w:pPr>
            <w:r>
              <w:rPr>
                <w:color w:val="333333"/>
                <w:sz w:val="20"/>
                <w:szCs w:val="20"/>
                <w:lang w:val="fr-FR"/>
              </w:rPr>
              <w:t>Section 232 : tarif 25 % GPU avancés + BIS licence Chine</w:t>
            </w:r>
          </w:p>
        </w:tc>
        <w:tc>
          <w:tcPr>
            <w:tcW w:w="2727" w:type="dxa"/>
            <w:tcBorders>
              <w:top w:val="single" w:sz="2" w:space="0" w:color="CCCCCC"/>
              <w:left w:val="single" w:sz="2" w:space="0" w:color="CCCCCC"/>
              <w:bottom w:val="single" w:sz="2" w:space="0" w:color="CCCCCC"/>
              <w:right w:val="single" w:sz="2" w:space="0" w:color="CCCCCC"/>
            </w:tcBorders>
            <w:shd w:val="clear" w:color="auto" w:fill="D5E8F0"/>
          </w:tcPr>
          <w:p w14:paraId="6D779EE7" w14:textId="77777777" w:rsidR="004A4E46" w:rsidRDefault="00000000">
            <w:pPr>
              <w:spacing w:after="40" w:line="276" w:lineRule="auto"/>
            </w:pPr>
            <w:r>
              <w:rPr>
                <w:b/>
                <w:bCs/>
                <w:color w:val="C0392B"/>
                <w:sz w:val="20"/>
                <w:szCs w:val="20"/>
              </w:rPr>
              <w:t>Global (exemption US domestique)</w:t>
            </w:r>
          </w:p>
        </w:tc>
      </w:tr>
    </w:tbl>
    <w:p w14:paraId="304C17A1" w14:textId="77777777" w:rsidR="004A4E46" w:rsidRDefault="004A4E46">
      <w:pPr>
        <w:spacing w:after="80"/>
      </w:pPr>
    </w:p>
    <w:p w14:paraId="72334C8F" w14:textId="77777777" w:rsidR="004A4E46" w:rsidRPr="00EB01F1" w:rsidRDefault="00000000">
      <w:pPr>
        <w:spacing w:after="160" w:line="312" w:lineRule="auto"/>
        <w:rPr>
          <w:lang w:val="fr-FR"/>
        </w:rPr>
      </w:pPr>
      <w:r>
        <w:rPr>
          <w:b/>
          <w:bCs/>
          <w:color w:val="333333"/>
          <w:sz w:val="20"/>
          <w:szCs w:val="20"/>
          <w:lang w:val="fr-FR"/>
        </w:rPr>
        <w:t>Tableau 7.</w:t>
      </w:r>
      <w:r>
        <w:rPr>
          <w:i/>
          <w:iCs/>
          <w:color w:val="333333"/>
          <w:sz w:val="20"/>
          <w:szCs w:val="20"/>
          <w:lang w:val="fr-FR"/>
        </w:rPr>
        <w:t xml:space="preserve"> Chronologie des mesures réglementaires américaines sur les semi-conducteurs et l’IA (2022–2026). Sources : BIS, White House, Pillsbury Law (2026), Gibson Dunn (2026).</w:t>
      </w:r>
    </w:p>
    <w:p w14:paraId="350CF852" w14:textId="77777777" w:rsidR="004A4E46" w:rsidRPr="00EB01F1" w:rsidRDefault="00000000">
      <w:pPr>
        <w:pBdr>
          <w:top w:val="single" w:sz="2" w:space="8" w:color="2E75B6"/>
          <w:bottom w:val="single" w:sz="2" w:space="8" w:color="2E75B6"/>
        </w:pBdr>
        <w:shd w:val="clear" w:color="auto" w:fill="EBF5FB"/>
        <w:spacing w:before="200" w:after="80"/>
        <w:jc w:val="center"/>
        <w:rPr>
          <w:lang w:val="fr-FR"/>
        </w:rPr>
      </w:pPr>
      <w:r>
        <w:rPr>
          <w:b/>
          <w:bCs/>
          <w:color w:val="2E75B6"/>
          <w:sz w:val="22"/>
          <w:szCs w:val="22"/>
          <w:lang w:val="fr-FR"/>
        </w:rPr>
        <w:t>[Graphique G4 — Frise chronologique des mesures US : de l’export control au protectionnisme tarifaire (2022–2026)]</w:t>
      </w:r>
    </w:p>
    <w:p w14:paraId="4D9F2AB2" w14:textId="77777777" w:rsidR="004A4E46" w:rsidRPr="00EB01F1" w:rsidRDefault="00000000">
      <w:pPr>
        <w:spacing w:after="200"/>
        <w:jc w:val="center"/>
        <w:rPr>
          <w:lang w:val="fr-FR"/>
        </w:rPr>
      </w:pPr>
      <w:r>
        <w:rPr>
          <w:b/>
          <w:bCs/>
          <w:color w:val="333333"/>
          <w:sz w:val="19"/>
          <w:szCs w:val="19"/>
          <w:lang w:val="fr-FR"/>
        </w:rPr>
        <w:t>Graphique G4.</w:t>
      </w:r>
      <w:r>
        <w:rPr>
          <w:i/>
          <w:iCs/>
          <w:color w:val="555555"/>
          <w:sz w:val="19"/>
          <w:szCs w:val="19"/>
          <w:lang w:val="fr-FR"/>
        </w:rPr>
        <w:t xml:space="preserve"> Frise chronologique des mesures US : de l’export control au protectionnisme tarifaire (2022–2026).</w:t>
      </w:r>
    </w:p>
    <w:p w14:paraId="6E35BE63" w14:textId="77777777" w:rsidR="004A4E46" w:rsidRPr="00EB01F1" w:rsidRDefault="00000000">
      <w:pPr>
        <w:pStyle w:val="Titre3"/>
        <w:rPr>
          <w:lang w:val="fr-FR"/>
        </w:rPr>
      </w:pPr>
      <w:r>
        <w:rPr>
          <w:lang w:val="fr-FR"/>
        </w:rPr>
        <w:t>3.4.5 Interprétation : du contrôle défensif au protectionnisme offensif</w:t>
      </w:r>
    </w:p>
    <w:p w14:paraId="1ED5BFFF" w14:textId="77777777" w:rsidR="004A4E46" w:rsidRPr="00EB01F1" w:rsidRDefault="00000000">
      <w:pPr>
        <w:spacing w:after="160" w:line="312" w:lineRule="auto"/>
        <w:jc w:val="both"/>
        <w:rPr>
          <w:lang w:val="fr-FR"/>
        </w:rPr>
      </w:pPr>
      <w:r>
        <w:rPr>
          <w:color w:val="333333"/>
          <w:lang w:val="fr-FR"/>
        </w:rPr>
        <w:t xml:space="preserve">La séquence 2022–2026 révèle une transformation qualitative de la politique américaine. Les phases Biden (2022–2025) relèvent d’une logique de </w:t>
      </w:r>
      <w:r>
        <w:rPr>
          <w:i/>
          <w:iCs/>
          <w:color w:val="333333"/>
          <w:lang w:val="fr-FR"/>
        </w:rPr>
        <w:t>denial strategy</w:t>
      </w:r>
      <w:r>
        <w:rPr>
          <w:color w:val="333333"/>
          <w:lang w:val="fr-FR"/>
        </w:rPr>
        <w:t xml:space="preserve"> : empêcher un adversaire désigné (la Chine) d’accéder aux technologies clés, dans un cadre multilatéral (coordination avec Japon, Pays-Bas). La phase Trump (2025–2026) ajoute une logique de </w:t>
      </w:r>
      <w:r>
        <w:rPr>
          <w:i/>
          <w:iCs/>
          <w:color w:val="333333"/>
          <w:lang w:val="fr-FR"/>
        </w:rPr>
        <w:t>capture strategy</w:t>
      </w:r>
      <w:r>
        <w:rPr>
          <w:color w:val="333333"/>
          <w:lang w:val="fr-FR"/>
        </w:rPr>
        <w:t xml:space="preserve"> : générer des recettes (25 % de tarif), prioriser les entreprises américaines (exemptions domestiques), et utiliser l’accès au compute comme levier de négociation avec les pays tiers.</w:t>
      </w:r>
    </w:p>
    <w:p w14:paraId="09336000" w14:textId="77777777" w:rsidR="004A4E46" w:rsidRPr="00EB01F1" w:rsidRDefault="00000000">
      <w:pPr>
        <w:spacing w:after="160" w:line="312" w:lineRule="auto"/>
        <w:ind w:firstLine="360"/>
        <w:jc w:val="both"/>
        <w:rPr>
          <w:lang w:val="fr-FR"/>
        </w:rPr>
      </w:pPr>
      <w:r>
        <w:rPr>
          <w:color w:val="333333"/>
          <w:lang w:val="fr-FR"/>
        </w:rPr>
        <w:t xml:space="preserve">C’est précisément cette transformation qui valide l’hypothèse centrale de notre étude : le protectionnisme technologique américain ne se limite plus au déni d’accès à un adversaire ; il construit activement un </w:t>
      </w:r>
      <w:r>
        <w:rPr>
          <w:b/>
          <w:bCs/>
          <w:color w:val="333333"/>
          <w:lang w:val="fr-FR"/>
        </w:rPr>
        <w:t>avantage concurrentiel structurel</w:t>
      </w:r>
      <w:r>
        <w:rPr>
          <w:color w:val="333333"/>
          <w:lang w:val="fr-FR"/>
        </w:rPr>
        <w:t xml:space="preserve"> pour les entreprises américaines. Les exemptions domestiques de la Section 232 signifient que, pour la première fois, le coût d’accès au compute de pointe est </w:t>
      </w:r>
      <w:r>
        <w:rPr>
          <w:i/>
          <w:iCs/>
          <w:color w:val="333333"/>
          <w:lang w:val="fr-FR"/>
        </w:rPr>
        <w:t>légalement différencié selon la nationalité de l’utilisateur</w:t>
      </w:r>
      <w:r>
        <w:rPr>
          <w:color w:val="333333"/>
          <w:lang w:val="fr-FR"/>
        </w:rPr>
        <w:t>. Même si les effets directs sur l’UE restent limités en janvier 2026 (le tarif cible principalement la ré-exportation vers la Chine), la proclamation ouvre la voie à un élargissement qui pourrait affecter directement l’Europe — précisément les scénarios B, C et D de notre analyse.</w:t>
      </w:r>
    </w:p>
    <w:p w14:paraId="12F6829F" w14:textId="77777777" w:rsidR="004A4E46" w:rsidRPr="00EB01F1" w:rsidRDefault="00000000">
      <w:pPr>
        <w:pStyle w:val="Titre2"/>
        <w:rPr>
          <w:lang w:val="fr-FR"/>
        </w:rPr>
      </w:pPr>
      <w:r>
        <w:rPr>
          <w:lang w:val="fr-FR"/>
        </w:rPr>
        <w:t>3.5 Synthèse du diagnostic : les « éléments prédéterminés » de 2026</w:t>
      </w:r>
    </w:p>
    <w:p w14:paraId="15FDBE18" w14:textId="77777777" w:rsidR="004A4E46" w:rsidRPr="00EB01F1" w:rsidRDefault="00000000">
      <w:pPr>
        <w:spacing w:after="160" w:line="312" w:lineRule="auto"/>
        <w:jc w:val="both"/>
        <w:rPr>
          <w:lang w:val="fr-FR"/>
        </w:rPr>
      </w:pPr>
      <w:r>
        <w:rPr>
          <w:color w:val="333333"/>
          <w:lang w:val="fr-FR"/>
        </w:rPr>
        <w:t>Les quatre dimensions du diagnostic convergent vers un tableau cohérent qui structure les scénarios du Chapitre V :</w:t>
      </w:r>
    </w:p>
    <w:p w14:paraId="42725844" w14:textId="77777777" w:rsidR="004A4E46" w:rsidRPr="00EB01F1" w:rsidRDefault="00000000">
      <w:pPr>
        <w:spacing w:after="160" w:line="312" w:lineRule="auto"/>
        <w:ind w:firstLine="360"/>
        <w:jc w:val="both"/>
        <w:rPr>
          <w:lang w:val="fr-FR"/>
        </w:rPr>
      </w:pPr>
      <w:r>
        <w:rPr>
          <w:b/>
          <w:bCs/>
          <w:color w:val="333333"/>
          <w:lang w:val="fr-FR"/>
        </w:rPr>
        <w:t>(1) La demande de compute IA est en croissance exponentielle</w:t>
      </w:r>
      <w:r>
        <w:rPr>
          <w:color w:val="333333"/>
          <w:lang w:val="fr-FR"/>
        </w:rPr>
        <w:t xml:space="preserve"> (doublement des ventes de puces en deux ans, doublement de la consommation énergétique projeté en six ans), et cette croissance ne montre aucun signe de ralentissement.</w:t>
      </w:r>
    </w:p>
    <w:p w14:paraId="37B0EF5D" w14:textId="77777777" w:rsidR="004A4E46" w:rsidRPr="00EB01F1" w:rsidRDefault="00000000">
      <w:pPr>
        <w:spacing w:after="160" w:line="312" w:lineRule="auto"/>
        <w:ind w:firstLine="360"/>
        <w:jc w:val="both"/>
        <w:rPr>
          <w:lang w:val="fr-FR"/>
        </w:rPr>
      </w:pPr>
      <w:r>
        <w:rPr>
          <w:b/>
          <w:bCs/>
          <w:color w:val="333333"/>
          <w:lang w:val="fr-FR"/>
        </w:rPr>
        <w:t>(2) Cette demande est structurellement concentrée aux États-Unis</w:t>
      </w:r>
      <w:r>
        <w:rPr>
          <w:color w:val="333333"/>
          <w:lang w:val="fr-FR"/>
        </w:rPr>
        <w:t xml:space="preserve"> (75 % du compute installé, 45 % de la conso énergétique data centers, &gt; 80 % des investissements privés), une concentration qui s’accentue avec le temps.</w:t>
      </w:r>
    </w:p>
    <w:p w14:paraId="19DB8147" w14:textId="77777777" w:rsidR="004A4E46" w:rsidRPr="00EB01F1" w:rsidRDefault="00000000">
      <w:pPr>
        <w:spacing w:after="160" w:line="312" w:lineRule="auto"/>
        <w:ind w:firstLine="360"/>
        <w:jc w:val="both"/>
        <w:rPr>
          <w:lang w:val="fr-FR"/>
        </w:rPr>
      </w:pPr>
      <w:r>
        <w:rPr>
          <w:b/>
          <w:bCs/>
          <w:color w:val="333333"/>
          <w:lang w:val="fr-FR"/>
        </w:rPr>
        <w:lastRenderedPageBreak/>
        <w:t>(3) L’Europe part d’une position structurellement déficitaire</w:t>
      </w:r>
      <w:r>
        <w:rPr>
          <w:color w:val="333333"/>
          <w:lang w:val="fr-FR"/>
        </w:rPr>
        <w:t xml:space="preserve"> (~5 % du compute, ~15 % de la conso, coûts énergétiques 2–3× plus élevés, dépendance à 72–80 % sur les hyperscalers US pour le cloud IA), avec des plans d’investissement (Chips Act, AI Factories, SNIA) dont l’ordre de grandeur reste au moins 10× inférieur aux investissements privés américains.</w:t>
      </w:r>
    </w:p>
    <w:p w14:paraId="14FB4701" w14:textId="77777777" w:rsidR="004A4E46" w:rsidRPr="00EB01F1" w:rsidRDefault="00000000">
      <w:pPr>
        <w:spacing w:after="160" w:line="312" w:lineRule="auto"/>
        <w:ind w:firstLine="360"/>
        <w:jc w:val="both"/>
        <w:rPr>
          <w:lang w:val="fr-FR"/>
        </w:rPr>
      </w:pPr>
      <w:r>
        <w:rPr>
          <w:b/>
          <w:bCs/>
          <w:color w:val="333333"/>
          <w:lang w:val="fr-FR"/>
        </w:rPr>
        <w:t>(4) Le cadre réglementaire américain a franchi une marche qualitative en janvier 2026</w:t>
      </w:r>
      <w:r>
        <w:rPr>
          <w:color w:val="333333"/>
          <w:lang w:val="fr-FR"/>
        </w:rPr>
        <w:t xml:space="preserve"> avec le passage des export controls aux tarifs Section 232, créant un mécanisme légal de différenciation du coût d’accès au compute selon la nationalité. La proclamation signale explicitement la possibilité d’un élargissement, dont la portée et le calendrier dépendront de variables politiques — précisément les incertitudes critiques que nos scénarios explorent.</w:t>
      </w:r>
    </w:p>
    <w:p w14:paraId="06DFAC69" w14:textId="77777777" w:rsidR="004A4E46" w:rsidRPr="00EB01F1" w:rsidRDefault="00000000">
      <w:pPr>
        <w:spacing w:after="160" w:line="312" w:lineRule="auto"/>
        <w:jc w:val="both"/>
        <w:rPr>
          <w:lang w:val="fr-FR"/>
        </w:rPr>
      </w:pPr>
      <w:r>
        <w:rPr>
          <w:color w:val="333333"/>
          <w:lang w:val="fr-FR"/>
        </w:rPr>
        <w:t>Le chapitre suivant (Chapitre IV) analyse les mécanismes par lesquels cette asymétrie de compute se traduit en avantage concurrentiel mesurable pour les entreprises américaines.</w:t>
      </w:r>
    </w:p>
    <w:p w14:paraId="4DE5F0B7" w14:textId="77777777" w:rsidR="004A4E46" w:rsidRPr="00EB01F1" w:rsidRDefault="00000000">
      <w:pPr>
        <w:rPr>
          <w:lang w:val="fr-FR"/>
        </w:rPr>
      </w:pPr>
      <w:r>
        <w:rPr>
          <w:lang w:val="fr-FR"/>
        </w:rPr>
        <w:br w:type="page"/>
      </w:r>
    </w:p>
    <w:p w14:paraId="09507BA5" w14:textId="77777777" w:rsidR="004A4E46" w:rsidRDefault="00000000">
      <w:pPr>
        <w:pBdr>
          <w:bottom w:val="single" w:sz="2" w:space="8" w:color="2E75B6"/>
        </w:pBdr>
        <w:spacing w:after="240"/>
      </w:pPr>
      <w:r>
        <w:rPr>
          <w:b/>
          <w:bCs/>
          <w:color w:val="1B3A5C"/>
          <w:sz w:val="26"/>
          <w:szCs w:val="26"/>
        </w:rPr>
        <w:lastRenderedPageBreak/>
        <w:t>Notes</w:t>
      </w:r>
    </w:p>
    <w:p w14:paraId="6FA41047" w14:textId="77777777" w:rsidR="004A4E46" w:rsidRPr="00EB01F1" w:rsidRDefault="00000000">
      <w:pPr>
        <w:spacing w:after="60" w:line="262" w:lineRule="auto"/>
        <w:rPr>
          <w:lang w:val="fr-FR"/>
        </w:rPr>
      </w:pPr>
      <w:r>
        <w:rPr>
          <w:color w:val="2E75B6"/>
          <w:sz w:val="18"/>
          <w:szCs w:val="18"/>
          <w:vertAlign w:val="superscript"/>
        </w:rPr>
        <w:t xml:space="preserve">1 </w:t>
      </w:r>
      <w:r>
        <w:rPr>
          <w:color w:val="555555"/>
          <w:sz w:val="18"/>
          <w:szCs w:val="18"/>
        </w:rPr>
        <w:t xml:space="preserve">IEA (2025), Energy and AI, Paris, IEA. https://www.iea.org/reports/energy-and-ai. </w:t>
      </w:r>
      <w:r>
        <w:rPr>
          <w:color w:val="555555"/>
          <w:sz w:val="18"/>
          <w:szCs w:val="18"/>
          <w:lang w:val="fr-FR"/>
        </w:rPr>
        <w:t>La donnée de 415 TWh inclut l’ensemble des data centers (cloud, entreprise, colocation), pas seulement les data centers dédiés à l’IA. L’IEA note que la consommation a crû de 12 % par an depuis 2017.</w:t>
      </w:r>
    </w:p>
    <w:p w14:paraId="04115B7F" w14:textId="77777777" w:rsidR="004A4E46" w:rsidRPr="00EB01F1" w:rsidRDefault="00000000">
      <w:pPr>
        <w:spacing w:after="60" w:line="262" w:lineRule="auto"/>
        <w:rPr>
          <w:lang w:val="fr-FR"/>
        </w:rPr>
      </w:pPr>
      <w:r>
        <w:rPr>
          <w:color w:val="2E75B6"/>
          <w:sz w:val="18"/>
          <w:szCs w:val="18"/>
          <w:vertAlign w:val="superscript"/>
        </w:rPr>
        <w:t xml:space="preserve">2 </w:t>
      </w:r>
      <w:r>
        <w:rPr>
          <w:color w:val="555555"/>
          <w:sz w:val="18"/>
          <w:szCs w:val="18"/>
        </w:rPr>
        <w:t xml:space="preserve">IEA (2025), op. cit., chapitre « Energy demand from AI ». </w:t>
      </w:r>
      <w:r>
        <w:rPr>
          <w:color w:val="555555"/>
          <w:sz w:val="18"/>
          <w:szCs w:val="18"/>
          <w:lang w:val="fr-FR"/>
        </w:rPr>
        <w:t>Commission européenne (novembre 2025), « In Focus: Data Centres — An Energy-Hungry Challenge », energy.ec.europa.eu. La donnée de 70 TWh pour l’UE est une estimation IEA en l’absence de données précises de consommation.</w:t>
      </w:r>
    </w:p>
    <w:p w14:paraId="28EFD99A" w14:textId="77777777" w:rsidR="004A4E46" w:rsidRPr="00EB01F1" w:rsidRDefault="00000000">
      <w:pPr>
        <w:spacing w:after="60" w:line="262" w:lineRule="auto"/>
        <w:rPr>
          <w:lang w:val="fr-FR"/>
        </w:rPr>
      </w:pPr>
      <w:r>
        <w:rPr>
          <w:color w:val="2E75B6"/>
          <w:sz w:val="18"/>
          <w:szCs w:val="18"/>
          <w:vertAlign w:val="superscript"/>
        </w:rPr>
        <w:t xml:space="preserve">3 </w:t>
      </w:r>
      <w:r>
        <w:rPr>
          <w:color w:val="555555"/>
          <w:sz w:val="18"/>
          <w:szCs w:val="18"/>
        </w:rPr>
        <w:t xml:space="preserve">IEA (2025), op. cit. ; Carbon Brief (septembre 2025), « AI: Five Charts that Put Data-Centre Energy Use — and Emissions — into Context ». </w:t>
      </w:r>
      <w:r>
        <w:rPr>
          <w:color w:val="555555"/>
          <w:sz w:val="18"/>
          <w:szCs w:val="18"/>
          <w:lang w:val="fr-FR"/>
        </w:rPr>
        <w:t>La fourchette 35–50 % provient d’un rapport préparé pour l’IEA (Kamiya &amp; Coroamă, 2025, IEA-4E).</w:t>
      </w:r>
    </w:p>
    <w:p w14:paraId="147BA0D8" w14:textId="77777777" w:rsidR="004A4E46" w:rsidRPr="00EB01F1" w:rsidRDefault="00000000">
      <w:pPr>
        <w:spacing w:after="60" w:line="262" w:lineRule="auto"/>
        <w:rPr>
          <w:lang w:val="fr-FR"/>
        </w:rPr>
      </w:pPr>
      <w:r>
        <w:rPr>
          <w:color w:val="2E75B6"/>
          <w:sz w:val="18"/>
          <w:szCs w:val="18"/>
          <w:vertAlign w:val="superscript"/>
          <w:lang w:val="fr-FR"/>
        </w:rPr>
        <w:t xml:space="preserve">4 </w:t>
      </w:r>
      <w:r>
        <w:rPr>
          <w:color w:val="555555"/>
          <w:sz w:val="18"/>
          <w:szCs w:val="18"/>
          <w:lang w:val="fr-FR"/>
        </w:rPr>
        <w:t>IEA (2025), op. cit. L’IEA note par ailleurs que dans son scénario « Headwinds », la consommation mondiale ne s’élèverait qu’à 790 TWh, soit 40 % de moins que le scénario central, illustrant l’ampleur de l’incertitude.</w:t>
      </w:r>
    </w:p>
    <w:p w14:paraId="65D64546" w14:textId="77777777" w:rsidR="004A4E46" w:rsidRPr="00EB01F1" w:rsidRDefault="00000000">
      <w:pPr>
        <w:spacing w:after="60" w:line="262" w:lineRule="auto"/>
        <w:rPr>
          <w:lang w:val="fr-FR"/>
        </w:rPr>
      </w:pPr>
      <w:r>
        <w:rPr>
          <w:color w:val="2E75B6"/>
          <w:sz w:val="18"/>
          <w:szCs w:val="18"/>
          <w:vertAlign w:val="superscript"/>
        </w:rPr>
        <w:t xml:space="preserve">5 </w:t>
      </w:r>
      <w:r>
        <w:rPr>
          <w:color w:val="555555"/>
          <w:sz w:val="18"/>
          <w:szCs w:val="18"/>
        </w:rPr>
        <w:t xml:space="preserve">Federal Reserve Board (octobre 2025), State of AI Competition in Advanced Economies. </w:t>
      </w:r>
      <w:r>
        <w:rPr>
          <w:color w:val="555555"/>
          <w:sz w:val="18"/>
          <w:szCs w:val="18"/>
          <w:lang w:val="fr-FR"/>
        </w:rPr>
        <w:t>Le rapport documente une corrélation significative entre coûts énergétiques industriels et taux d’adoption de l’IA, notamment pour les grandes entreprises européennes.</w:t>
      </w:r>
    </w:p>
    <w:p w14:paraId="682C8138" w14:textId="77777777" w:rsidR="004A4E46" w:rsidRPr="00EB01F1" w:rsidRDefault="00000000">
      <w:pPr>
        <w:spacing w:after="60" w:line="262" w:lineRule="auto"/>
        <w:rPr>
          <w:lang w:val="fr-FR"/>
        </w:rPr>
      </w:pPr>
      <w:r>
        <w:rPr>
          <w:color w:val="2E75B6"/>
          <w:sz w:val="18"/>
          <w:szCs w:val="18"/>
          <w:vertAlign w:val="superscript"/>
        </w:rPr>
        <w:t xml:space="preserve">6 </w:t>
      </w:r>
      <w:r>
        <w:rPr>
          <w:color w:val="555555"/>
          <w:sz w:val="18"/>
          <w:szCs w:val="18"/>
        </w:rPr>
        <w:t xml:space="preserve">IEA (2025), op. cit., chapitre « Case study: DeepSeek and efficiency gains ». </w:t>
      </w:r>
      <w:r>
        <w:rPr>
          <w:color w:val="555555"/>
          <w:sz w:val="18"/>
          <w:szCs w:val="18"/>
          <w:lang w:val="fr-FR"/>
        </w:rPr>
        <w:t>L’IEA conclut que les gains d’efficacité algorithmique, bien que significatifs, tendent à être absorbés par la croissance de la demande (« Jevons paradox »).</w:t>
      </w:r>
    </w:p>
    <w:p w14:paraId="0E6625AD" w14:textId="77777777" w:rsidR="004A4E46" w:rsidRPr="00EB01F1" w:rsidRDefault="00000000">
      <w:pPr>
        <w:spacing w:after="60" w:line="262" w:lineRule="auto"/>
        <w:rPr>
          <w:lang w:val="fr-FR"/>
        </w:rPr>
      </w:pPr>
      <w:r>
        <w:rPr>
          <w:color w:val="2E75B6"/>
          <w:sz w:val="18"/>
          <w:szCs w:val="18"/>
          <w:vertAlign w:val="superscript"/>
          <w:lang w:val="fr-FR"/>
        </w:rPr>
        <w:t xml:space="preserve">7 </w:t>
      </w:r>
      <w:r>
        <w:rPr>
          <w:color w:val="555555"/>
          <w:sz w:val="18"/>
          <w:szCs w:val="18"/>
          <w:lang w:val="fr-FR"/>
        </w:rPr>
        <w:t>SIA (février 2025, révisé mars 2025), « Global Semiconductor Sales Increase 19.1% in 2024 ». Le chiffre initial de 627,6 Md$ a été révisé à 630,5 Md$ par le WSTS.</w:t>
      </w:r>
    </w:p>
    <w:p w14:paraId="7FC019A3" w14:textId="77777777" w:rsidR="004A4E46" w:rsidRPr="00EB01F1" w:rsidRDefault="00000000">
      <w:pPr>
        <w:spacing w:after="60" w:line="262" w:lineRule="auto"/>
        <w:rPr>
          <w:lang w:val="fr-FR"/>
        </w:rPr>
      </w:pPr>
      <w:r>
        <w:rPr>
          <w:color w:val="2E75B6"/>
          <w:sz w:val="18"/>
          <w:szCs w:val="18"/>
          <w:vertAlign w:val="superscript"/>
        </w:rPr>
        <w:t xml:space="preserve">8 </w:t>
      </w:r>
      <w:r>
        <w:rPr>
          <w:color w:val="555555"/>
          <w:sz w:val="18"/>
          <w:szCs w:val="18"/>
        </w:rPr>
        <w:t xml:space="preserve">SIA (février 2026), « Global Annual Semiconductor Sales Increase 25.6% to $791.7 Billion in 2025 ». </w:t>
      </w:r>
      <w:r>
        <w:rPr>
          <w:color w:val="555555"/>
          <w:sz w:val="18"/>
          <w:szCs w:val="18"/>
          <w:lang w:val="fr-FR"/>
        </w:rPr>
        <w:t>Les ventes du T4 2025 (236,6 Md$) ont été 37,1 % supérieures au T4 2024, marquant une accélération notable.</w:t>
      </w:r>
    </w:p>
    <w:p w14:paraId="07A48079" w14:textId="77777777" w:rsidR="004A4E46" w:rsidRPr="00EB01F1" w:rsidRDefault="00000000">
      <w:pPr>
        <w:spacing w:after="60" w:line="262" w:lineRule="auto"/>
        <w:rPr>
          <w:lang w:val="fr-FR"/>
        </w:rPr>
      </w:pPr>
      <w:r>
        <w:rPr>
          <w:color w:val="2E75B6"/>
          <w:sz w:val="18"/>
          <w:szCs w:val="18"/>
          <w:vertAlign w:val="superscript"/>
        </w:rPr>
        <w:t xml:space="preserve">9 </w:t>
      </w:r>
      <w:r>
        <w:rPr>
          <w:color w:val="555555"/>
          <w:sz w:val="18"/>
          <w:szCs w:val="18"/>
        </w:rPr>
        <w:t xml:space="preserve">McKinsey (janvier 2026), « Hiding in Plain Sight: The Semiconductor Industry’s Expanding Perimeter ». </w:t>
      </w:r>
      <w:r>
        <w:rPr>
          <w:color w:val="555555"/>
          <w:sz w:val="18"/>
          <w:szCs w:val="18"/>
          <w:lang w:val="fr-FR"/>
        </w:rPr>
        <w:t>L’écart avec la SIA s’explique par l’inclusion des captive designers et des opérateurs fabless verticalement intégrés.</w:t>
      </w:r>
    </w:p>
    <w:p w14:paraId="4CE157FB" w14:textId="77777777" w:rsidR="004A4E46" w:rsidRPr="00EB01F1" w:rsidRDefault="00000000">
      <w:pPr>
        <w:spacing w:after="60" w:line="262" w:lineRule="auto"/>
        <w:rPr>
          <w:lang w:val="fr-FR"/>
        </w:rPr>
      </w:pPr>
      <w:r>
        <w:rPr>
          <w:color w:val="2E75B6"/>
          <w:sz w:val="18"/>
          <w:szCs w:val="18"/>
          <w:vertAlign w:val="superscript"/>
        </w:rPr>
        <w:t xml:space="preserve">10 </w:t>
      </w:r>
      <w:r>
        <w:rPr>
          <w:color w:val="555555"/>
          <w:sz w:val="18"/>
          <w:szCs w:val="18"/>
        </w:rPr>
        <w:t xml:space="preserve">SIA (juillet 2025), State of the U.S. Semiconductor Industry Report. </w:t>
      </w:r>
      <w:r>
        <w:rPr>
          <w:color w:val="555555"/>
          <w:sz w:val="18"/>
          <w:szCs w:val="18"/>
          <w:lang w:val="fr-FR"/>
        </w:rPr>
        <w:t>La SIA note que le Chips &amp; Science Act a généré près de 500 Md$ d’investissements privés annoncés et devrait créer ou soutenir plus de 500 000 emplois.</w:t>
      </w:r>
    </w:p>
    <w:p w14:paraId="7BF91098" w14:textId="77777777" w:rsidR="004A4E46" w:rsidRPr="00EB01F1" w:rsidRDefault="00000000">
      <w:pPr>
        <w:spacing w:after="60" w:line="262" w:lineRule="auto"/>
        <w:rPr>
          <w:lang w:val="fr-FR"/>
        </w:rPr>
      </w:pPr>
      <w:r>
        <w:rPr>
          <w:color w:val="2E75B6"/>
          <w:sz w:val="18"/>
          <w:szCs w:val="18"/>
          <w:vertAlign w:val="superscript"/>
          <w:lang w:val="de-DE"/>
        </w:rPr>
        <w:t xml:space="preserve">11 </w:t>
      </w:r>
      <w:r>
        <w:rPr>
          <w:color w:val="555555"/>
          <w:sz w:val="18"/>
          <w:szCs w:val="18"/>
          <w:lang w:val="de-DE"/>
        </w:rPr>
        <w:t xml:space="preserve">Pilz, K.F., Rahman, R., Sanders, J. &amp; Heim, L. (2025), « Trends in AI Supercomputers », arXiv:2504.16026. </w:t>
      </w:r>
      <w:r>
        <w:rPr>
          <w:color w:val="555555"/>
          <w:sz w:val="18"/>
          <w:szCs w:val="18"/>
          <w:lang w:val="fr-FR"/>
        </w:rPr>
        <w:t>Le dataset couvre 728 clusters dont 501 opérationnels depuis 2019, représentant 10–20 % de la capacité mondiale estimée.</w:t>
      </w:r>
    </w:p>
    <w:p w14:paraId="1CFEA450" w14:textId="77777777" w:rsidR="004A4E46" w:rsidRPr="00EB01F1" w:rsidRDefault="00000000">
      <w:pPr>
        <w:spacing w:after="60" w:line="262" w:lineRule="auto"/>
        <w:rPr>
          <w:lang w:val="fr-FR"/>
        </w:rPr>
      </w:pPr>
      <w:r>
        <w:rPr>
          <w:color w:val="2E75B6"/>
          <w:sz w:val="18"/>
          <w:szCs w:val="18"/>
          <w:vertAlign w:val="superscript"/>
          <w:lang w:val="fr-FR"/>
        </w:rPr>
        <w:t xml:space="preserve">12 </w:t>
      </w:r>
      <w:r>
        <w:rPr>
          <w:color w:val="555555"/>
          <w:sz w:val="18"/>
          <w:szCs w:val="18"/>
          <w:lang w:val="fr-FR"/>
        </w:rPr>
        <w:t>Sanchez, C. (2025), « GeoCoded Special Report: State of Global AI Compute (2025 Edition) », Sanchez.vc. L’estimation croise les données Epoch AI et Georgetown University. L’auteur note que la couverture varie et que les parts réelles pourraient différer de 5 points de pourcentage.</w:t>
      </w:r>
    </w:p>
    <w:p w14:paraId="6FF245BC" w14:textId="77777777" w:rsidR="004A4E46" w:rsidRPr="00EB01F1" w:rsidRDefault="00000000">
      <w:pPr>
        <w:spacing w:after="60" w:line="262" w:lineRule="auto"/>
        <w:rPr>
          <w:lang w:val="fr-FR"/>
        </w:rPr>
      </w:pPr>
      <w:r>
        <w:rPr>
          <w:color w:val="2E75B6"/>
          <w:sz w:val="18"/>
          <w:szCs w:val="18"/>
          <w:vertAlign w:val="superscript"/>
          <w:lang w:val="fr-FR"/>
        </w:rPr>
        <w:t xml:space="preserve">13 </w:t>
      </w:r>
      <w:r>
        <w:rPr>
          <w:color w:val="555555"/>
          <w:sz w:val="18"/>
          <w:szCs w:val="18"/>
          <w:lang w:val="fr-FR"/>
        </w:rPr>
        <w:t>Pilz et al. (2025), op. cit. La performance des supercalculateurs IA de pointe double tous les 9 mois, tirée par une augmentation de 1,6×/an du nombre de puces et de 1,6×/an de la performance par puce.</w:t>
      </w:r>
    </w:p>
    <w:p w14:paraId="3C6A31BC" w14:textId="77777777" w:rsidR="004A4E46" w:rsidRPr="00EB01F1" w:rsidRDefault="00000000">
      <w:pPr>
        <w:spacing w:after="60" w:line="262" w:lineRule="auto"/>
        <w:rPr>
          <w:lang w:val="fr-FR"/>
        </w:rPr>
      </w:pPr>
      <w:r>
        <w:rPr>
          <w:color w:val="2E75B6"/>
          <w:sz w:val="18"/>
          <w:szCs w:val="18"/>
          <w:vertAlign w:val="superscript"/>
        </w:rPr>
        <w:t xml:space="preserve">14 </w:t>
      </w:r>
      <w:r>
        <w:rPr>
          <w:color w:val="555555"/>
          <w:sz w:val="18"/>
          <w:szCs w:val="18"/>
        </w:rPr>
        <w:t xml:space="preserve">Epoch AI (janvier 2026), « Global AI Power Capacity Is Now Comparable to Peak Power Usage of New York State ». </w:t>
      </w:r>
      <w:r>
        <w:rPr>
          <w:color w:val="555555"/>
          <w:sz w:val="18"/>
          <w:szCs w:val="18"/>
          <w:lang w:val="fr-FR"/>
        </w:rPr>
        <w:t>L’estimation de 30 GW est fondée sur les ventes trimestrielles de puces IA × TDP × facteur d’infrastructure 2,5×.</w:t>
      </w:r>
    </w:p>
    <w:p w14:paraId="5102DDA0" w14:textId="77777777" w:rsidR="004A4E46" w:rsidRDefault="00000000">
      <w:pPr>
        <w:spacing w:after="60" w:line="262" w:lineRule="auto"/>
      </w:pPr>
      <w:r>
        <w:rPr>
          <w:color w:val="2E75B6"/>
          <w:sz w:val="18"/>
          <w:szCs w:val="18"/>
          <w:vertAlign w:val="superscript"/>
        </w:rPr>
        <w:t xml:space="preserve">15 </w:t>
      </w:r>
      <w:r>
        <w:rPr>
          <w:color w:val="555555"/>
          <w:sz w:val="18"/>
          <w:szCs w:val="18"/>
        </w:rPr>
        <w:t>BIS (7 octobre 2022), « Commerce Implements New Export Controls on Advanced Computing and Semiconductor Manufacturing Items to the People’s Republic of China », Federal Register. Voir aussi GAO (2025), « Export Controls: Commerce Implemented Advanced Semiconductor Rules », GAO-25-107386.</w:t>
      </w:r>
    </w:p>
    <w:p w14:paraId="75FD2547" w14:textId="77777777" w:rsidR="004A4E46" w:rsidRPr="00EB01F1" w:rsidRDefault="00000000">
      <w:pPr>
        <w:spacing w:after="60" w:line="262" w:lineRule="auto"/>
        <w:rPr>
          <w:lang w:val="fr-FR"/>
        </w:rPr>
      </w:pPr>
      <w:r>
        <w:rPr>
          <w:color w:val="2E75B6"/>
          <w:sz w:val="18"/>
          <w:szCs w:val="18"/>
          <w:vertAlign w:val="superscript"/>
        </w:rPr>
        <w:t xml:space="preserve">16 </w:t>
      </w:r>
      <w:r>
        <w:rPr>
          <w:color w:val="555555"/>
          <w:sz w:val="18"/>
          <w:szCs w:val="18"/>
        </w:rPr>
        <w:t xml:space="preserve">Skadden (octobre 2023), « BIS Updates October 2022 Semiconductor Export Control Rules ». </w:t>
      </w:r>
      <w:r>
        <w:rPr>
          <w:color w:val="555555"/>
          <w:sz w:val="18"/>
          <w:szCs w:val="18"/>
          <w:lang w:val="fr-FR"/>
        </w:rPr>
        <w:t>Les nouvelles règles capturent notamment les A800 et H800, des puces Nvidia spécifiquement conçues pour se situer juste en-dessous des seuils d’octobre 2022.</w:t>
      </w:r>
    </w:p>
    <w:p w14:paraId="0B8C130D" w14:textId="77777777" w:rsidR="004A4E46" w:rsidRPr="00EB01F1" w:rsidRDefault="00000000">
      <w:pPr>
        <w:spacing w:after="60" w:line="262" w:lineRule="auto"/>
        <w:rPr>
          <w:lang w:val="fr-FR"/>
        </w:rPr>
      </w:pPr>
      <w:r>
        <w:rPr>
          <w:color w:val="2E75B6"/>
          <w:sz w:val="18"/>
          <w:szCs w:val="18"/>
          <w:vertAlign w:val="superscript"/>
        </w:rPr>
        <w:t xml:space="preserve">17 </w:t>
      </w:r>
      <w:r>
        <w:rPr>
          <w:color w:val="555555"/>
          <w:sz w:val="18"/>
          <w:szCs w:val="18"/>
        </w:rPr>
        <w:t xml:space="preserve">Carnegie Endowment (mai 2025), Winter-Levy, H. &amp; Phillips-Robins, A., « What Is the AI Diffusion Rule?» </w:t>
      </w:r>
      <w:r>
        <w:rPr>
          <w:color w:val="555555"/>
          <w:sz w:val="18"/>
          <w:szCs w:val="18"/>
          <w:lang w:val="fr-FR"/>
        </w:rPr>
        <w:t>L’AI Diffusion Rule est restée en vigueur seulement brièvement avant d’être partiellement remplacée par l’approche Trump, mais elle a établi le précédent d’un contrôle portant sur les modèles et le cloud, pas seulement les puces physiques.</w:t>
      </w:r>
    </w:p>
    <w:p w14:paraId="17C38FC0" w14:textId="77777777" w:rsidR="004A4E46" w:rsidRPr="00EB01F1" w:rsidRDefault="00000000">
      <w:pPr>
        <w:spacing w:after="60" w:line="262" w:lineRule="auto"/>
        <w:rPr>
          <w:lang w:val="fr-FR"/>
        </w:rPr>
      </w:pPr>
      <w:r>
        <w:rPr>
          <w:color w:val="2E75B6"/>
          <w:sz w:val="18"/>
          <w:szCs w:val="18"/>
          <w:vertAlign w:val="superscript"/>
        </w:rPr>
        <w:t xml:space="preserve">18 </w:t>
      </w:r>
      <w:r>
        <w:rPr>
          <w:color w:val="555555"/>
          <w:sz w:val="18"/>
          <w:szCs w:val="18"/>
        </w:rPr>
        <w:t xml:space="preserve">White House (14 janvier 2026), Presidential Proclamation 11002, « Adjusting Imports of Semiconductors, Semiconductor Manufacturing Equipment, and Their Derivative Products into the United States ». </w:t>
      </w:r>
      <w:r>
        <w:rPr>
          <w:color w:val="555555"/>
          <w:sz w:val="18"/>
          <w:szCs w:val="18"/>
          <w:lang w:val="fr-FR"/>
        </w:rPr>
        <w:t>La proclamation invoque la Section 232 du Trade Expansion Act of 1962 (19 U.S.C. 1862).</w:t>
      </w:r>
    </w:p>
    <w:p w14:paraId="446E6ACD" w14:textId="77777777" w:rsidR="004A4E46" w:rsidRPr="00EB01F1" w:rsidRDefault="00000000">
      <w:pPr>
        <w:spacing w:after="60" w:line="262" w:lineRule="auto"/>
        <w:rPr>
          <w:lang w:val="fr-FR"/>
        </w:rPr>
      </w:pPr>
      <w:r>
        <w:rPr>
          <w:color w:val="2E75B6"/>
          <w:sz w:val="18"/>
          <w:szCs w:val="18"/>
          <w:vertAlign w:val="superscript"/>
        </w:rPr>
        <w:t xml:space="preserve">19 </w:t>
      </w:r>
      <w:r>
        <w:rPr>
          <w:color w:val="555555"/>
          <w:sz w:val="18"/>
          <w:szCs w:val="18"/>
        </w:rPr>
        <w:t xml:space="preserve">Pillsbury Law (janvier 2026), « Trump Admin Targets Advanced AI Semiconductors, Defers Broader Tariffs ». </w:t>
      </w:r>
      <w:r>
        <w:rPr>
          <w:color w:val="555555"/>
          <w:sz w:val="18"/>
          <w:szCs w:val="18"/>
          <w:lang w:val="fr-FR"/>
        </w:rPr>
        <w:t xml:space="preserve">L’analyse juridique note que la combinaison de la Section 232 et de la règle BIS du 15 janvier 2026 </w:t>
        <w:lastRenderedPageBreak/>
        <w:t>opérationnalise l’annonce de septembre 2025 selon laquelle le gouvernement US collecterait 25 % des ventes de puces IA vers la Chine.</w:t>
      </w:r>
    </w:p>
    <w:p w14:paraId="5B042133" w14:textId="77777777" w:rsidR="004A4E46" w:rsidRDefault="00000000">
      <w:pPr>
        <w:spacing w:after="60" w:line="262" w:lineRule="auto"/>
      </w:pPr>
      <w:r>
        <w:rPr>
          <w:color w:val="2E75B6"/>
          <w:sz w:val="18"/>
          <w:szCs w:val="18"/>
          <w:vertAlign w:val="superscript"/>
        </w:rPr>
        <w:t xml:space="preserve">20 </w:t>
      </w:r>
      <w:r>
        <w:rPr>
          <w:color w:val="555555"/>
          <w:sz w:val="18"/>
          <w:szCs w:val="18"/>
        </w:rPr>
        <w:t>White House (14 janvier 2026), Fact Sheet: « President Donald J. Trump Takes Action on Certain Advanced Computing Chips to Protect America’s Economic and National Security ». Gibson Dunn (janvier 2026), « The Trump Administration’s New Tariffs on and Export Licensing Requirements for Advanced Semiconductors ».</w:t>
      </w:r>
    </w:p>
    <w:p w14:paraId="487A7C7D" w14:textId="77777777" w:rsidR="004A4E46" w:rsidRDefault="004A4E46">
      <w:pPr>
        <w:spacing w:after="60" w:line="262" w:lineRule="auto"/>
        <w:rPr>
          <w:color w:val="555555"/>
          <w:sz w:val="18"/>
          <w:szCs w:val="18"/>
        </w:rPr>
      </w:pPr>
    </w:p>
    <w:p w14:paraId="1E06B4E2" w14:textId="77777777" w:rsidR="004A4E46" w:rsidRDefault="004A4E46">
      <w:pPr>
        <w:spacing w:after="60" w:line="262" w:lineRule="auto"/>
        <w:rPr>
          <w:color w:val="555555"/>
          <w:sz w:val="18"/>
          <w:szCs w:val="18"/>
        </w:rPr>
      </w:pPr>
    </w:p>
    <w:p w14:paraId="0256040B" w14:textId="77777777" w:rsidR="004A4E46" w:rsidRDefault="004A4E46">
      <w:pPr>
        <w:spacing w:after="60" w:line="262" w:lineRule="auto"/>
        <w:rPr>
          <w:color w:val="555555"/>
          <w:sz w:val="18"/>
          <w:szCs w:val="18"/>
        </w:rPr>
      </w:pPr>
    </w:p>
    <w:p w14:paraId="38E5C77A" w14:textId="77777777" w:rsidR="004A4E46" w:rsidRPr="00EB01F1" w:rsidRDefault="00000000">
      <w:pPr>
        <w:spacing w:after="60" w:line="262" w:lineRule="auto"/>
        <w:rPr>
          <w:color w:val="555555"/>
          <w:sz w:val="18"/>
          <w:szCs w:val="18"/>
          <w:lang w:val="fr-FR"/>
        </w:rPr>
      </w:pPr>
      <w:r>
        <w:rPr>
          <w:color w:val="555555"/>
          <w:sz w:val="18"/>
          <w:szCs w:val="18"/>
          <w:lang w:val="fr-FR"/>
        </w:rPr>
        <w:t>Licence et Avertissement Ce travail, "</w:t>
      </w:r>
      <w:hyperlink r:id="rId6">
        <w:r>
          <w:rPr>
            <w:rStyle w:val="Lienhypertexte"/>
            <w:b/>
            <w:bCs/>
            <w:color w:val="555555"/>
            <w:sz w:val="18"/>
            <w:szCs w:val="18"/>
            <w:lang w:val="fr-FR"/>
          </w:rPr>
          <w:t>America-First-IA</w:t>
        </w:r>
      </w:hyperlink>
      <w:r>
        <w:rPr>
          <w:color w:val="555555"/>
          <w:sz w:val="18"/>
          <w:szCs w:val="18"/>
          <w:lang w:val="fr-FR"/>
        </w:rPr>
        <w:t>", est mis à disposition selon les</w:t>
      </w:r>
    </w:p>
    <w:p w14:paraId="622276FA" w14:textId="77777777" w:rsidR="004A4E46" w:rsidRPr="00EB01F1" w:rsidRDefault="00000000">
      <w:pPr>
        <w:spacing w:after="60" w:line="262" w:lineRule="auto"/>
        <w:rPr>
          <w:color w:val="555555"/>
          <w:sz w:val="18"/>
          <w:szCs w:val="18"/>
          <w:lang w:val="fr-FR"/>
        </w:rPr>
      </w:pPr>
      <w:r>
        <w:rPr>
          <w:color w:val="555555"/>
          <w:sz w:val="18"/>
          <w:szCs w:val="18"/>
          <w:lang w:val="fr-FR"/>
        </w:rPr>
        <w:t>termes de la Licence Creative Commons Attribution - Pas d'Utilisation Commerciale - Partage</w:t>
      </w:r>
    </w:p>
    <w:p w14:paraId="5F3B35A0" w14:textId="77777777" w:rsidR="004A4E46" w:rsidRPr="00EB01F1" w:rsidRDefault="00000000">
      <w:pPr>
        <w:spacing w:after="60" w:line="262" w:lineRule="auto"/>
        <w:rPr>
          <w:color w:val="555555"/>
          <w:sz w:val="18"/>
          <w:szCs w:val="18"/>
          <w:lang w:val="fr-FR"/>
        </w:rPr>
      </w:pPr>
      <w:r>
        <w:rPr>
          <w:color w:val="555555"/>
          <w:sz w:val="18"/>
          <w:szCs w:val="18"/>
          <w:lang w:val="fr-FR"/>
        </w:rPr>
        <w:t>dans les Mêmes Conditions 4.0 International (CC BY-NC-SA 4.0).</w:t>
      </w:r>
    </w:p>
    <w:p w14:paraId="7D852F09" w14:textId="77777777" w:rsidR="004A4E46" w:rsidRPr="00EB01F1" w:rsidRDefault="00000000">
      <w:pPr>
        <w:spacing w:after="60" w:line="262" w:lineRule="auto"/>
        <w:rPr>
          <w:color w:val="555555"/>
          <w:sz w:val="18"/>
          <w:szCs w:val="18"/>
          <w:lang w:val="fr-FR"/>
        </w:rPr>
      </w:pPr>
      <w:r>
        <w:rPr>
          <w:color w:val="555555"/>
          <w:sz w:val="18"/>
          <w:szCs w:val="18"/>
          <w:lang w:val="fr-FR"/>
        </w:rPr>
        <w:t>Vous êtes libre de partager et d'adapter le matériel à des fins non commerciales, à condition</w:t>
      </w:r>
    </w:p>
    <w:p w14:paraId="796A6C65" w14:textId="77777777" w:rsidR="004A4E46" w:rsidRPr="00EB01F1" w:rsidRDefault="00000000">
      <w:pPr>
        <w:spacing w:after="60" w:line="262" w:lineRule="auto"/>
        <w:rPr>
          <w:color w:val="555555"/>
          <w:sz w:val="18"/>
          <w:szCs w:val="18"/>
          <w:lang w:val="fr-FR"/>
        </w:rPr>
      </w:pPr>
      <w:r>
        <w:rPr>
          <w:color w:val="555555"/>
          <w:sz w:val="18"/>
          <w:szCs w:val="18"/>
          <w:lang w:val="fr-FR"/>
        </w:rPr>
        <w:t>de créditer de manière appropriée Fabrice Pizzi (Université Paris Sorbonne) et de diffuser</w:t>
      </w:r>
    </w:p>
    <w:p w14:paraId="02CD4FEA" w14:textId="77777777" w:rsidR="004A4E46" w:rsidRPr="00EB01F1" w:rsidRDefault="00000000">
      <w:pPr>
        <w:spacing w:after="60" w:line="262" w:lineRule="auto"/>
        <w:rPr>
          <w:color w:val="555555"/>
          <w:sz w:val="18"/>
          <w:szCs w:val="18"/>
          <w:lang w:val="fr-FR"/>
        </w:rPr>
      </w:pPr>
      <w:r>
        <w:rPr>
          <w:color w:val="555555"/>
          <w:sz w:val="18"/>
          <w:szCs w:val="18"/>
          <w:lang w:val="fr-FR"/>
        </w:rPr>
        <w:t>vos contributions avec la même licence. Ce document est fourni à des fins éducatives et de</w:t>
      </w:r>
    </w:p>
    <w:p w14:paraId="197F62CE" w14:textId="77777777" w:rsidR="004A4E46" w:rsidRDefault="00000000">
      <w:pPr>
        <w:spacing w:after="60" w:line="262" w:lineRule="auto"/>
        <w:rPr>
          <w:color w:val="555555"/>
          <w:sz w:val="18"/>
          <w:szCs w:val="18"/>
        </w:rPr>
      </w:pPr>
      <w:r>
        <w:rPr>
          <w:color w:val="555555"/>
          <w:sz w:val="18"/>
          <w:szCs w:val="18"/>
        </w:rPr>
        <w:t>recherche uniquement.</w:t>
      </w:r>
    </w:p>
    <w:p w14:paraId="46FE456A" w14:textId="77777777" w:rsidR="004A4E46" w:rsidRDefault="004A4E46">
      <w:pPr>
        <w:spacing w:after="60" w:line="262" w:lineRule="auto"/>
        <w:rPr>
          <w:color w:val="555555"/>
          <w:sz w:val="18"/>
          <w:szCs w:val="18"/>
        </w:rPr>
      </w:pPr>
    </w:p>
    <w:p w14:paraId="23B9D66A" w14:textId="77777777" w:rsidR="004A4E46" w:rsidRDefault="004A4E46">
      <w:pPr>
        <w:spacing w:after="60" w:line="262" w:lineRule="auto"/>
        <w:rPr>
          <w:color w:val="555555"/>
          <w:sz w:val="18"/>
          <w:szCs w:val="18"/>
        </w:rPr>
      </w:pPr>
    </w:p>
    <w:p w14:paraId="2B63715B" w14:textId="77777777" w:rsidR="004A4E46" w:rsidRDefault="004A4E46">
      <w:pPr>
        <w:spacing w:after="60" w:line="262" w:lineRule="auto"/>
        <w:rPr>
          <w:color w:val="555555"/>
          <w:sz w:val="18"/>
          <w:szCs w:val="18"/>
        </w:rPr>
      </w:pPr>
    </w:p>
    <w:p w14:paraId="21008986" w14:textId="77777777" w:rsidR="004A4E46" w:rsidRDefault="004A4E46">
      <w:pPr>
        <w:spacing w:after="60" w:line="262" w:lineRule="auto"/>
        <w:rPr>
          <w:color w:val="555555"/>
          <w:sz w:val="18"/>
          <w:szCs w:val="18"/>
        </w:rPr>
      </w:pPr>
    </w:p>
    <w:p w14:paraId="2CA8AEE0" w14:textId="77777777" w:rsidR="004A4E46" w:rsidRDefault="004A4E46">
      <w:pPr>
        <w:spacing w:after="60" w:line="262" w:lineRule="auto"/>
        <w:rPr>
          <w:color w:val="555555"/>
          <w:sz w:val="18"/>
          <w:szCs w:val="18"/>
        </w:rPr>
      </w:pPr>
    </w:p>
    <w:p w14:paraId="5E498F01" w14:textId="77777777" w:rsidR="004A4E46" w:rsidRDefault="004A4E46">
      <w:pPr>
        <w:spacing w:after="60" w:line="262" w:lineRule="auto"/>
        <w:rPr>
          <w:color w:val="555555"/>
          <w:sz w:val="18"/>
          <w:szCs w:val="18"/>
        </w:rPr>
      </w:pPr>
    </w:p>
    <w:p w14:paraId="47000C14" w14:textId="77777777" w:rsidR="004A4E46" w:rsidRDefault="004A4E46">
      <w:pPr>
        <w:spacing w:after="60" w:line="262" w:lineRule="auto"/>
        <w:rPr>
          <w:color w:val="555555"/>
          <w:sz w:val="18"/>
          <w:szCs w:val="18"/>
        </w:rPr>
      </w:pPr>
    </w:p>
    <w:p w14:paraId="67DC38A0" w14:textId="77777777" w:rsidR="004A4E46" w:rsidRDefault="004A4E46">
      <w:pPr>
        <w:spacing w:after="60" w:line="262" w:lineRule="auto"/>
        <w:rPr>
          <w:color w:val="555555"/>
          <w:sz w:val="18"/>
          <w:szCs w:val="18"/>
        </w:rPr>
      </w:pPr>
    </w:p>
    <w:p w14:paraId="06753868" w14:textId="77777777" w:rsidR="004A4E46" w:rsidRDefault="004A4E46">
      <w:pPr>
        <w:spacing w:after="60" w:line="262" w:lineRule="auto"/>
        <w:rPr>
          <w:color w:val="555555"/>
          <w:sz w:val="18"/>
          <w:szCs w:val="18"/>
        </w:rPr>
      </w:pPr>
    </w:p>
    <w:p w14:paraId="5A019EEF" w14:textId="77777777" w:rsidR="004A4E46" w:rsidRDefault="004A4E46">
      <w:pPr>
        <w:spacing w:after="60" w:line="262" w:lineRule="auto"/>
        <w:rPr>
          <w:color w:val="555555"/>
          <w:sz w:val="18"/>
          <w:szCs w:val="18"/>
        </w:rPr>
      </w:pPr>
    </w:p>
    <w:p w14:paraId="0B3B16A9" w14:textId="77777777" w:rsidR="004A4E46" w:rsidRDefault="004A4E46">
      <w:pPr>
        <w:spacing w:after="60" w:line="262" w:lineRule="auto"/>
        <w:rPr>
          <w:color w:val="555555"/>
          <w:sz w:val="18"/>
          <w:szCs w:val="18"/>
        </w:rPr>
      </w:pPr>
    </w:p>
    <w:p w14:paraId="74E11115" w14:textId="77777777" w:rsidR="004A4E46" w:rsidRDefault="004A4E46">
      <w:pPr>
        <w:spacing w:after="60" w:line="262" w:lineRule="auto"/>
        <w:rPr>
          <w:color w:val="555555"/>
          <w:sz w:val="18"/>
          <w:szCs w:val="18"/>
        </w:rPr>
      </w:pPr>
    </w:p>
    <w:p w14:paraId="79593B9A" w14:textId="77777777" w:rsidR="004A4E46" w:rsidRDefault="004A4E46">
      <w:pPr>
        <w:spacing w:after="60" w:line="262" w:lineRule="auto"/>
        <w:rPr>
          <w:color w:val="555555"/>
          <w:sz w:val="18"/>
          <w:szCs w:val="18"/>
        </w:rPr>
      </w:pPr>
    </w:p>
    <w:p w14:paraId="6F506F37" w14:textId="77777777" w:rsidR="004A4E46" w:rsidRDefault="004A4E46">
      <w:pPr>
        <w:spacing w:after="60" w:line="262" w:lineRule="auto"/>
        <w:rPr>
          <w:color w:val="555555"/>
          <w:sz w:val="18"/>
          <w:szCs w:val="18"/>
        </w:rPr>
      </w:pPr>
    </w:p>
    <w:p w14:paraId="7BC77CF3" w14:textId="77777777" w:rsidR="004A4E46" w:rsidRDefault="004A4E46">
      <w:pPr>
        <w:spacing w:after="60" w:line="262" w:lineRule="auto"/>
        <w:rPr>
          <w:color w:val="555555"/>
          <w:sz w:val="18"/>
          <w:szCs w:val="18"/>
        </w:rPr>
      </w:pPr>
    </w:p>
    <w:p w14:paraId="2F116CBE" w14:textId="77777777" w:rsidR="004A4E46" w:rsidRDefault="004A4E46">
      <w:pPr>
        <w:spacing w:after="60" w:line="262" w:lineRule="auto"/>
        <w:rPr>
          <w:color w:val="555555"/>
          <w:sz w:val="18"/>
          <w:szCs w:val="18"/>
        </w:rPr>
      </w:pPr>
    </w:p>
    <w:p w14:paraId="4A856F3E" w14:textId="77777777" w:rsidR="004A4E46" w:rsidRDefault="004A4E46">
      <w:pPr>
        <w:spacing w:after="60" w:line="262" w:lineRule="auto"/>
        <w:rPr>
          <w:color w:val="555555"/>
          <w:sz w:val="18"/>
          <w:szCs w:val="18"/>
        </w:rPr>
      </w:pPr>
    </w:p>
    <w:sectPr w:rsidR="004A4E4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B3FC8" w14:textId="77777777" w:rsidR="00F13F0C" w:rsidRDefault="00F13F0C">
      <w:r>
        <w:separator/>
      </w:r>
    </w:p>
  </w:endnote>
  <w:endnote w:type="continuationSeparator" w:id="0">
    <w:p w14:paraId="5269C872" w14:textId="77777777" w:rsidR="00F13F0C" w:rsidRDefault="00F13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28985" w14:textId="77777777" w:rsidR="004A4E46" w:rsidRDefault="004A4E4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FBEA8" w14:textId="77777777" w:rsidR="004A4E46" w:rsidRDefault="00000000">
    <w:pPr>
      <w:pBdr>
        <w:top w:val="single" w:sz="2" w:space="4" w:color="CCCCCC"/>
      </w:pBdr>
      <w:jc w:val="center"/>
    </w:pPr>
    <w:r>
      <w:rPr>
        <w:color w:val="555555"/>
        <w:sz w:val="16"/>
        <w:szCs w:val="16"/>
      </w:rPr>
      <w:t xml:space="preserve">AI for Americans First — </w:t>
    </w:r>
    <w:proofErr w:type="gramStart"/>
    <w:r>
      <w:rPr>
        <w:color w:val="555555"/>
        <w:sz w:val="16"/>
        <w:szCs w:val="16"/>
      </w:rPr>
      <w:t>Fabrice  Pizzi</w:t>
    </w:r>
    <w:proofErr w:type="gramEnd"/>
    <w:r>
      <w:rPr>
        <w:color w:val="555555"/>
        <w:sz w:val="16"/>
        <w:szCs w:val="16"/>
      </w:rPr>
      <w:t xml:space="preserve">—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14</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FF42" w14:textId="77777777" w:rsidR="004A4E46" w:rsidRDefault="00000000">
    <w:pPr>
      <w:pBdr>
        <w:top w:val="single" w:sz="2" w:space="4" w:color="CCCCCC"/>
      </w:pBdr>
      <w:jc w:val="center"/>
    </w:pPr>
    <w:r>
      <w:rPr>
        <w:color w:val="555555"/>
        <w:sz w:val="16"/>
        <w:szCs w:val="16"/>
      </w:rPr>
      <w:t xml:space="preserve">AI for Americans First — </w:t>
    </w:r>
    <w:proofErr w:type="gramStart"/>
    <w:r>
      <w:rPr>
        <w:color w:val="555555"/>
        <w:sz w:val="16"/>
        <w:szCs w:val="16"/>
      </w:rPr>
      <w:t>Fabrice  Pizzi</w:t>
    </w:r>
    <w:proofErr w:type="gramEnd"/>
    <w:r>
      <w:rPr>
        <w:color w:val="555555"/>
        <w:sz w:val="16"/>
        <w:szCs w:val="16"/>
      </w:rPr>
      <w:t xml:space="preserve">— Page </w:t>
    </w:r>
    <w:r>
      <w:rPr>
        <w:color w:val="555555"/>
        <w:sz w:val="18"/>
        <w:szCs w:val="18"/>
      </w:rPr>
      <w:fldChar w:fldCharType="begin"/>
    </w:r>
    <w:r>
      <w:rPr>
        <w:color w:val="555555"/>
        <w:sz w:val="18"/>
        <w:szCs w:val="18"/>
      </w:rPr>
      <w:instrText xml:space="preserve"> PAGE </w:instrText>
    </w:r>
    <w:r>
      <w:rPr>
        <w:color w:val="555555"/>
        <w:sz w:val="18"/>
        <w:szCs w:val="18"/>
      </w:rPr>
      <w:fldChar w:fldCharType="separate"/>
    </w:r>
    <w:r>
      <w:rPr>
        <w:color w:val="555555"/>
        <w:sz w:val="18"/>
        <w:szCs w:val="18"/>
      </w:rPr>
      <w:t>14</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94D73" w14:textId="77777777" w:rsidR="00F13F0C" w:rsidRDefault="00F13F0C">
      <w:r>
        <w:separator/>
      </w:r>
    </w:p>
  </w:footnote>
  <w:footnote w:type="continuationSeparator" w:id="0">
    <w:p w14:paraId="52778DD4" w14:textId="77777777" w:rsidR="00F13F0C" w:rsidRDefault="00F13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008B5" w14:textId="77777777" w:rsidR="004A4E46" w:rsidRDefault="004A4E4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DF987" w14:textId="77777777" w:rsidR="004A4E46" w:rsidRDefault="00000000">
    <w:pPr>
      <w:pBdr>
        <w:bottom w:val="single" w:sz="2" w:space="4" w:color="2E75B6"/>
      </w:pBdr>
    </w:pPr>
    <w:proofErr w:type="spellStart"/>
    <w:r>
      <w:rPr>
        <w:i/>
        <w:iCs/>
        <w:color w:val="2E75B6"/>
        <w:sz w:val="16"/>
        <w:szCs w:val="16"/>
      </w:rPr>
      <w:t>Chapitre</w:t>
    </w:r>
    <w:proofErr w:type="spellEnd"/>
    <w:r>
      <w:rPr>
        <w:i/>
        <w:iCs/>
        <w:color w:val="2E75B6"/>
        <w:sz w:val="16"/>
        <w:szCs w:val="16"/>
      </w:rPr>
      <w:t xml:space="preserve"> III — Diagnostic </w:t>
    </w:r>
    <w:proofErr w:type="spellStart"/>
    <w:r>
      <w:rPr>
        <w:i/>
        <w:iCs/>
        <w:color w:val="2E75B6"/>
        <w:sz w:val="16"/>
        <w:szCs w:val="16"/>
      </w:rPr>
      <w:t>empirique</w:t>
    </w:r>
    <w:proofErr w:type="spellEnd"/>
    <w:r>
      <w:rPr>
        <w:i/>
        <w:iCs/>
        <w:color w:val="2E75B6"/>
        <w:sz w:val="16"/>
        <w:szCs w:val="16"/>
      </w:rPr>
      <w:t xml:space="preserve"> 2020–2026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C5018" w14:textId="77777777" w:rsidR="004A4E46" w:rsidRDefault="00000000">
    <w:pPr>
      <w:pBdr>
        <w:bottom w:val="single" w:sz="2" w:space="4" w:color="2E75B6"/>
      </w:pBdr>
    </w:pPr>
    <w:proofErr w:type="spellStart"/>
    <w:r>
      <w:rPr>
        <w:i/>
        <w:iCs/>
        <w:color w:val="2E75B6"/>
        <w:sz w:val="16"/>
        <w:szCs w:val="16"/>
      </w:rPr>
      <w:t>Chapitre</w:t>
    </w:r>
    <w:proofErr w:type="spellEnd"/>
    <w:r>
      <w:rPr>
        <w:i/>
        <w:iCs/>
        <w:color w:val="2E75B6"/>
        <w:sz w:val="16"/>
        <w:szCs w:val="16"/>
      </w:rPr>
      <w:t xml:space="preserve"> III — Diagnostic </w:t>
    </w:r>
    <w:proofErr w:type="spellStart"/>
    <w:r>
      <w:rPr>
        <w:i/>
        <w:iCs/>
        <w:color w:val="2E75B6"/>
        <w:sz w:val="16"/>
        <w:szCs w:val="16"/>
      </w:rPr>
      <w:t>empirique</w:t>
    </w:r>
    <w:proofErr w:type="spellEnd"/>
    <w:r>
      <w:rPr>
        <w:i/>
        <w:iCs/>
        <w:color w:val="2E75B6"/>
        <w:sz w:val="16"/>
        <w:szCs w:val="16"/>
      </w:rPr>
      <w:t xml:space="preserve"> 2020–2026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E46"/>
    <w:rsid w:val="004A4E46"/>
    <w:rsid w:val="00EB01F1"/>
    <w:rsid w:val="00EF5EBE"/>
    <w:rsid w:val="00F13F0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EC99E"/>
  <w15:docId w15:val="{68373926-57BD-409F-9DF4-8C028DA8E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400" w:after="240"/>
      <w:outlineLvl w:val="0"/>
    </w:pPr>
    <w:rPr>
      <w:rFonts w:ascii="Georgia" w:eastAsia="Georgia" w:hAnsi="Georgia" w:cs="Georgia"/>
      <w:b/>
      <w:bCs/>
      <w:color w:val="1B3A5C"/>
      <w:sz w:val="32"/>
      <w:szCs w:val="32"/>
    </w:rPr>
  </w:style>
  <w:style w:type="paragraph" w:styleId="Titre2">
    <w:name w:val="heading 2"/>
    <w:basedOn w:val="Heading"/>
    <w:uiPriority w:val="9"/>
    <w:unhideWhenUsed/>
    <w:qFormat/>
    <w:pPr>
      <w:spacing w:before="320" w:after="160"/>
      <w:outlineLvl w:val="1"/>
    </w:pPr>
    <w:rPr>
      <w:rFonts w:ascii="Georgia" w:eastAsia="Georgia" w:hAnsi="Georgia" w:cs="Georgia"/>
      <w:b/>
      <w:bCs/>
      <w:color w:val="2E75B6"/>
      <w:sz w:val="26"/>
      <w:szCs w:val="26"/>
    </w:rPr>
  </w:style>
  <w:style w:type="paragraph" w:styleId="Titre3">
    <w:name w:val="heading 3"/>
    <w:basedOn w:val="Heading"/>
    <w:uiPriority w:val="9"/>
    <w:unhideWhenUsed/>
    <w:qFormat/>
    <w:pPr>
      <w:outlineLvl w:val="2"/>
    </w:pPr>
    <w:rPr>
      <w:rFonts w:ascii="Georgia" w:eastAsia="Georgia" w:hAnsi="Georgia" w:cs="Georgia"/>
      <w:b/>
      <w:bCs/>
      <w:i/>
      <w:iCs/>
      <w:color w:val="1B3A5C"/>
      <w:sz w:val="23"/>
      <w:szCs w:val="23"/>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character" w:styleId="lev">
    <w:name w:val="Strong"/>
    <w:qFormat/>
    <w:rPr>
      <w:b/>
      <w:bCs/>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03766">
      <w:bodyDiv w:val="1"/>
      <w:marLeft w:val="0"/>
      <w:marRight w:val="0"/>
      <w:marTop w:val="0"/>
      <w:marBottom w:val="0"/>
      <w:divBdr>
        <w:top w:val="none" w:sz="0" w:space="0" w:color="auto"/>
        <w:left w:val="none" w:sz="0" w:space="0" w:color="auto"/>
        <w:bottom w:val="none" w:sz="0" w:space="0" w:color="auto"/>
        <w:right w:val="none" w:sz="0" w:space="0" w:color="auto"/>
      </w:divBdr>
    </w:div>
    <w:div w:id="351035497">
      <w:bodyDiv w:val="1"/>
      <w:marLeft w:val="0"/>
      <w:marRight w:val="0"/>
      <w:marTop w:val="0"/>
      <w:marBottom w:val="0"/>
      <w:divBdr>
        <w:top w:val="none" w:sz="0" w:space="0" w:color="auto"/>
        <w:left w:val="none" w:sz="0" w:space="0" w:color="auto"/>
        <w:bottom w:val="none" w:sz="0" w:space="0" w:color="auto"/>
        <w:right w:val="none" w:sz="0" w:space="0" w:color="auto"/>
      </w:divBdr>
    </w:div>
    <w:div w:id="385876972">
      <w:bodyDiv w:val="1"/>
      <w:marLeft w:val="0"/>
      <w:marRight w:val="0"/>
      <w:marTop w:val="0"/>
      <w:marBottom w:val="0"/>
      <w:divBdr>
        <w:top w:val="none" w:sz="0" w:space="0" w:color="auto"/>
        <w:left w:val="none" w:sz="0" w:space="0" w:color="auto"/>
        <w:bottom w:val="none" w:sz="0" w:space="0" w:color="auto"/>
        <w:right w:val="none" w:sz="0" w:space="0" w:color="auto"/>
      </w:divBdr>
    </w:div>
    <w:div w:id="803035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mo0ogly/America-First-IA"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14</Pages>
  <Words>4238</Words>
  <Characters>23309</Characters>
  <Application>Microsoft Office Word</Application>
  <DocSecurity>0</DocSecurity>
  <Lines>194</Lines>
  <Paragraphs>54</Paragraphs>
  <ScaleCrop>false</ScaleCrop>
  <Company/>
  <LinksUpToDate>false</LinksUpToDate>
  <CharactersWithSpaces>27493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4</cp:revision>
  <dcterms:created xsi:type="dcterms:W3CDTF">2026-02-24T09:23:00Z</dcterms:created>
  <dcterms:modified xsi:type="dcterms:W3CDTF">2026-02-26T09:27:00Z</dcterms:modified>
  <dc:language>en-US</dc:language>
</cp:coreProperties>
</file>