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E22723F" w14:textId="77777777" w:rsidR="007B7C96" w:rsidRDefault="00000000">
      <w:pPr>
        <w:shd w:val="clear" w:color="auto" w:fill="D4AC0D"/>
        <w:jc w:val="center"/>
      </w:pPr>
      <w:r>
        <w:rPr>
          <w:rFonts w:ascii="Calibri" w:eastAsia="Calibri" w:hAnsi="Calibri" w:cs="Calibri"/>
          <w:sz w:val="28"/>
          <w:szCs w:val="28"/>
        </w:rPr>
        <w:t xml:space="preserve"> </w:t>
      </w:r>
    </w:p>
    <w:p w14:paraId="2A85AF7B" w14:textId="77777777" w:rsidR="007B7C96" w:rsidRPr="006716EC" w:rsidRDefault="00000000">
      <w:pPr>
        <w:shd w:val="clear" w:color="auto" w:fill="D4AC0D"/>
        <w:jc w:val="center"/>
        <w:rPr>
          <w:lang w:val="fr-FR"/>
        </w:rPr>
      </w:pPr>
      <w:r>
        <w:rPr>
          <w:rFonts w:ascii="Calibri" w:eastAsia="Calibri" w:hAnsi="Calibri" w:cs="Calibri"/>
          <w:b/>
          <w:bCs/>
          <w:color w:val="0B1929"/>
          <w:sz w:val="22"/>
          <w:szCs w:val="22"/>
          <w:lang w:val="fr-FR"/>
        </w:rPr>
        <w:t>ÉTUDE DE RECHERCHE — FÉVRIER 2026</w:t>
      </w:r>
    </w:p>
    <w:p w14:paraId="65A9DE4B" w14:textId="77777777" w:rsidR="007B7C96" w:rsidRPr="006716EC" w:rsidRDefault="00000000">
      <w:pPr>
        <w:shd w:val="clear" w:color="auto" w:fill="D4AC0D"/>
        <w:rPr>
          <w:lang w:val="fr-FR"/>
        </w:rPr>
      </w:pPr>
      <w:r>
        <w:rPr>
          <w:sz w:val="16"/>
          <w:szCs w:val="16"/>
          <w:lang w:val="fr-FR"/>
        </w:rPr>
        <w:t xml:space="preserve"> </w:t>
      </w:r>
    </w:p>
    <w:p w14:paraId="40C1D091" w14:textId="77777777" w:rsidR="007B7C96" w:rsidRPr="006716EC" w:rsidRDefault="007B7C96">
      <w:pPr>
        <w:spacing w:before="600"/>
        <w:rPr>
          <w:lang w:val="fr-FR"/>
        </w:rPr>
      </w:pPr>
    </w:p>
    <w:p w14:paraId="666B250A" w14:textId="77777777" w:rsidR="007B7C96" w:rsidRPr="006716EC" w:rsidRDefault="007B7C96">
      <w:pPr>
        <w:spacing w:before="600"/>
        <w:rPr>
          <w:lang w:val="fr-FR"/>
        </w:rPr>
      </w:pPr>
    </w:p>
    <w:p w14:paraId="3778CCB8" w14:textId="77777777" w:rsidR="007B7C96" w:rsidRPr="006716EC" w:rsidRDefault="00000000">
      <w:pPr>
        <w:spacing w:before="200" w:after="100"/>
        <w:jc w:val="center"/>
        <w:rPr>
          <w:lang w:val="fr-FR"/>
        </w:rPr>
      </w:pPr>
      <w:r>
        <w:rPr>
          <w:rFonts w:ascii="Calibri" w:eastAsia="Calibri" w:hAnsi="Calibri" w:cs="Calibri"/>
          <w:b/>
          <w:bCs/>
          <w:color w:val="0B1929"/>
          <w:sz w:val="72"/>
          <w:szCs w:val="72"/>
          <w:lang w:val="fr-FR"/>
        </w:rPr>
        <w:t>AI FOR AMERICANS FIRST</w:t>
      </w:r>
    </w:p>
    <w:p w14:paraId="305291C0" w14:textId="77777777" w:rsidR="007B7C96" w:rsidRPr="006716EC" w:rsidRDefault="007B7C96">
      <w:pPr>
        <w:pBdr>
          <w:bottom w:val="single" w:sz="12" w:space="1" w:color="D4AC0D"/>
        </w:pBdr>
        <w:spacing w:before="200" w:after="200"/>
        <w:ind w:left="2880" w:right="2880"/>
        <w:jc w:val="center"/>
        <w:rPr>
          <w:lang w:val="fr-FR"/>
        </w:rPr>
      </w:pPr>
    </w:p>
    <w:p w14:paraId="6AAE4398" w14:textId="77777777" w:rsidR="007B7C96" w:rsidRPr="006716EC" w:rsidRDefault="00000000">
      <w:pPr>
        <w:spacing w:before="300" w:after="80"/>
        <w:jc w:val="center"/>
        <w:rPr>
          <w:lang w:val="fr-FR"/>
        </w:rPr>
      </w:pPr>
      <w:r>
        <w:rPr>
          <w:rFonts w:ascii="Calibri" w:eastAsia="Calibri" w:hAnsi="Calibri" w:cs="Calibri"/>
          <w:color w:val="0B1929"/>
          <w:sz w:val="30"/>
          <w:szCs w:val="30"/>
          <w:lang w:val="fr-FR"/>
        </w:rPr>
        <w:t>Protectionnisme IA, Énergie et Semi-conducteurs :</w:t>
      </w:r>
    </w:p>
    <w:p w14:paraId="3A641E0C" w14:textId="77777777" w:rsidR="007B7C96" w:rsidRPr="006716EC" w:rsidRDefault="00000000">
      <w:pPr>
        <w:spacing w:before="80" w:after="80"/>
        <w:jc w:val="center"/>
        <w:rPr>
          <w:lang w:val="fr-FR"/>
        </w:rPr>
      </w:pPr>
      <w:r>
        <w:rPr>
          <w:rFonts w:ascii="Calibri" w:eastAsia="Calibri" w:hAnsi="Calibri" w:cs="Calibri"/>
          <w:color w:val="0B1929"/>
          <w:sz w:val="30"/>
          <w:szCs w:val="30"/>
          <w:lang w:val="fr-FR"/>
        </w:rPr>
        <w:t>Trajectoires de Divergence US/Europe 2024–2030</w:t>
      </w:r>
    </w:p>
    <w:p w14:paraId="2DE1878E" w14:textId="77777777" w:rsidR="007B7C96" w:rsidRPr="006716EC" w:rsidRDefault="00000000">
      <w:pPr>
        <w:spacing w:before="200" w:after="100"/>
        <w:jc w:val="center"/>
        <w:rPr>
          <w:lang w:val="fr-FR"/>
        </w:rPr>
      </w:pPr>
      <w:r>
        <w:rPr>
          <w:rFonts w:ascii="Calibri" w:eastAsia="Calibri" w:hAnsi="Calibri" w:cs="Calibri"/>
          <w:i/>
          <w:iCs/>
          <w:color w:val="2E86C1"/>
          <w:sz w:val="26"/>
          <w:szCs w:val="26"/>
          <w:lang w:val="fr-FR"/>
        </w:rPr>
        <w:t>Analyse Géostratégique et Économique Intégrée</w:t>
      </w:r>
    </w:p>
    <w:p w14:paraId="401A1A38" w14:textId="77777777" w:rsidR="007B7C96" w:rsidRPr="006716EC" w:rsidRDefault="00000000">
      <w:pPr>
        <w:spacing w:before="400"/>
        <w:jc w:val="center"/>
        <w:rPr>
          <w:lang w:val="fr-FR"/>
        </w:rPr>
      </w:pPr>
      <w:r>
        <w:rPr>
          <w:lang w:val="fr-FR"/>
        </w:rPr>
        <w:t>Chapitre  VI bis</w:t>
      </w:r>
    </w:p>
    <w:p w14:paraId="446CA2B2" w14:textId="77777777" w:rsidR="007B7C96" w:rsidRPr="006716EC" w:rsidRDefault="00000000">
      <w:pPr>
        <w:spacing w:before="400" w:after="80"/>
        <w:jc w:val="center"/>
        <w:rPr>
          <w:lang w:val="fr-FR"/>
        </w:rPr>
      </w:pPr>
      <w:r>
        <w:rPr>
          <w:rFonts w:ascii="Calibri" w:eastAsia="Calibri" w:hAnsi="Calibri" w:cs="Calibri"/>
          <w:b/>
          <w:bCs/>
          <w:color w:val="0B1929"/>
          <w:sz w:val="36"/>
          <w:szCs w:val="36"/>
          <w:lang w:val="fr-FR"/>
        </w:rPr>
        <w:t>Fabrice Pizzi</w:t>
      </w:r>
    </w:p>
    <w:p w14:paraId="16AA6407" w14:textId="77777777" w:rsidR="007B7C96" w:rsidRPr="006716EC" w:rsidRDefault="00000000">
      <w:pPr>
        <w:spacing w:before="80" w:after="80"/>
        <w:jc w:val="center"/>
        <w:rPr>
          <w:lang w:val="fr-FR"/>
        </w:rPr>
      </w:pPr>
      <w:r>
        <w:rPr>
          <w:rFonts w:ascii="Calibri" w:eastAsia="Calibri" w:hAnsi="Calibri" w:cs="Calibri"/>
          <w:color w:val="2E86C1"/>
          <w:sz w:val="28"/>
          <w:szCs w:val="28"/>
          <w:lang w:val="fr-FR"/>
        </w:rPr>
        <w:t>Université Sorbonne</w:t>
      </w:r>
    </w:p>
    <w:p w14:paraId="21CC2075" w14:textId="77777777" w:rsidR="007B7C96" w:rsidRPr="006716EC" w:rsidRDefault="00000000">
      <w:pPr>
        <w:spacing w:before="80" w:after="80"/>
        <w:jc w:val="center"/>
        <w:rPr>
          <w:lang w:val="fr-FR"/>
        </w:rPr>
      </w:pPr>
      <w:r>
        <w:rPr>
          <w:rFonts w:ascii="Calibri" w:eastAsia="Calibri" w:hAnsi="Calibri" w:cs="Calibri"/>
          <w:i/>
          <w:iCs/>
          <w:color w:val="6B7B8D"/>
          <w:sz w:val="24"/>
          <w:szCs w:val="24"/>
          <w:lang w:val="fr-FR"/>
        </w:rPr>
        <w:t>Master Intelligence Économique — Intelligence Warfare</w:t>
      </w:r>
    </w:p>
    <w:p w14:paraId="2F060006" w14:textId="77777777" w:rsidR="007B7C96" w:rsidRPr="006716EC" w:rsidRDefault="007B7C96">
      <w:pPr>
        <w:spacing w:before="400"/>
        <w:rPr>
          <w:sz w:val="4"/>
          <w:szCs w:val="4"/>
          <w:lang w:val="fr-FR"/>
        </w:rPr>
      </w:pPr>
    </w:p>
    <w:p w14:paraId="6450A1FE" w14:textId="77777777" w:rsidR="006716EC" w:rsidRPr="00BF1FE9" w:rsidRDefault="006716EC" w:rsidP="006716EC">
      <w:pPr>
        <w:spacing w:before="400"/>
        <w:jc w:val="both"/>
        <w:rPr>
          <w:sz w:val="4"/>
          <w:szCs w:val="4"/>
          <w:lang w:val="fr-FR"/>
        </w:rPr>
      </w:pPr>
    </w:p>
    <w:p w14:paraId="0463670B" w14:textId="77777777" w:rsidR="006716EC" w:rsidRPr="00BF1FE9" w:rsidRDefault="006716EC" w:rsidP="006716EC">
      <w:pPr>
        <w:shd w:val="clear" w:color="auto" w:fill="F0F3F6"/>
        <w:spacing w:before="200" w:after="120"/>
        <w:ind w:left="1440" w:right="1440"/>
        <w:jc w:val="both"/>
        <w:rPr>
          <w:lang w:val="fr-FR"/>
        </w:rPr>
      </w:pPr>
      <w:r>
        <w:rPr>
          <w:sz w:val="16"/>
          <w:szCs w:val="16"/>
          <w:lang w:val="fr-FR"/>
        </w:rPr>
        <w:t xml:space="preserve"> </w:t>
      </w:r>
    </w:p>
    <w:p w14:paraId="7474B555" w14:textId="77777777" w:rsidR="006716EC" w:rsidRPr="00476CC8" w:rsidRDefault="006716EC" w:rsidP="006716EC">
      <w:pPr>
        <w:shd w:val="clear" w:color="auto" w:fill="F0F3F6"/>
        <w:ind w:left="1440" w:right="1440"/>
        <w:jc w:val="both"/>
        <w:rPr>
          <w:lang w:val="fr-FR"/>
        </w:rPr>
      </w:pPr>
      <w:r>
        <w:rPr>
          <w:rFonts w:ascii="Calibri" w:eastAsia="Calibri" w:hAnsi="Calibri" w:cs="Calibri"/>
          <w:b/>
          <w:bCs/>
          <w:color w:val="C0392B"/>
          <w:sz w:val="36"/>
          <w:szCs w:val="36"/>
          <w:lang w:val="fr-FR"/>
        </w:rPr>
        <w:t>77%</w:t>
      </w:r>
      <w:r>
        <w:rPr>
          <w:rFonts w:ascii="Calibri" w:eastAsia="Calibri" w:hAnsi="Calibri" w:cs="Calibri"/>
          <w:color w:val="6B7B8D"/>
          <w:sz w:val="20"/>
          <w:szCs w:val="20"/>
          <w:lang w:val="fr-FR"/>
        </w:rPr>
        <w:t xml:space="preserve"> compute IA mondial = USA     </w:t>
      </w:r>
      <w:r>
        <w:rPr>
          <w:rFonts w:ascii="Calibri" w:eastAsia="Calibri" w:hAnsi="Calibri" w:cs="Calibri"/>
          <w:b/>
          <w:bCs/>
          <w:color w:val="C0392B"/>
          <w:sz w:val="36"/>
          <w:szCs w:val="36"/>
          <w:lang w:val="fr-FR"/>
        </w:rPr>
        <w:t>1.6×</w:t>
      </w:r>
      <w:r>
        <w:rPr>
          <w:rFonts w:ascii="Calibri" w:eastAsia="Calibri" w:hAnsi="Calibri" w:cs="Calibri"/>
          <w:color w:val="6B7B8D"/>
          <w:sz w:val="20"/>
          <w:szCs w:val="20"/>
          <w:lang w:val="fr-FR"/>
        </w:rPr>
        <w:t xml:space="preserve"> coût énergie EU/US     </w:t>
      </w:r>
      <w:r>
        <w:rPr>
          <w:rFonts w:ascii="Calibri" w:eastAsia="Calibri" w:hAnsi="Calibri" w:cs="Calibri"/>
          <w:b/>
          <w:bCs/>
          <w:color w:val="2E86C1"/>
          <w:sz w:val="36"/>
          <w:szCs w:val="36"/>
          <w:lang w:val="fr-FR"/>
        </w:rPr>
        <w:t>3.4:1</w:t>
      </w:r>
      <w:r>
        <w:rPr>
          <w:rFonts w:ascii="Calibri" w:eastAsia="Calibri" w:hAnsi="Calibri" w:cs="Calibri"/>
          <w:color w:val="6B7B8D"/>
          <w:sz w:val="20"/>
          <w:szCs w:val="20"/>
          <w:lang w:val="fr-FR"/>
        </w:rPr>
        <w:t xml:space="preserve"> ratio CACI US/EU (mode Power)</w:t>
      </w:r>
    </w:p>
    <w:p w14:paraId="3C5D81C1" w14:textId="77777777" w:rsidR="006716EC" w:rsidRPr="00476CC8" w:rsidRDefault="006716EC" w:rsidP="006716EC">
      <w:pPr>
        <w:shd w:val="clear" w:color="auto" w:fill="F0F3F6"/>
        <w:spacing w:after="120"/>
        <w:ind w:left="1440" w:right="1440"/>
        <w:jc w:val="both"/>
        <w:rPr>
          <w:lang w:val="fr-FR"/>
        </w:rPr>
      </w:pPr>
      <w:r>
        <w:rPr>
          <w:sz w:val="16"/>
          <w:szCs w:val="16"/>
          <w:lang w:val="fr-FR"/>
        </w:rPr>
        <w:t xml:space="preserve"> </w:t>
      </w:r>
    </w:p>
    <w:p w14:paraId="58B38C1A" w14:textId="77777777" w:rsidR="007B7C96" w:rsidRPr="006716EC" w:rsidRDefault="007B7C96">
      <w:pPr>
        <w:spacing w:before="400"/>
        <w:rPr>
          <w:lang w:val="pt-BR"/>
        </w:rPr>
      </w:pPr>
    </w:p>
    <w:p w14:paraId="7B12A65F" w14:textId="77777777" w:rsidR="007B7C96" w:rsidRPr="006716EC" w:rsidRDefault="00000000">
      <w:pPr>
        <w:spacing w:before="200" w:after="80"/>
        <w:jc w:val="center"/>
        <w:rPr>
          <w:lang w:val="fr-FR"/>
        </w:rPr>
      </w:pPr>
      <w:r>
        <w:rPr>
          <w:rFonts w:ascii="Calibri" w:eastAsia="Calibri" w:hAnsi="Calibri" w:cs="Calibri"/>
          <w:color w:val="6B7B8D"/>
          <w:sz w:val="22"/>
          <w:szCs w:val="22"/>
          <w:lang w:val="fr-FR"/>
        </w:rPr>
        <w:t>Paris — Février 2026</w:t>
      </w:r>
    </w:p>
    <w:p w14:paraId="15857E0E" w14:textId="77777777" w:rsidR="007B7C96" w:rsidRPr="006716EC" w:rsidRDefault="00000000">
      <w:pPr>
        <w:spacing w:before="80" w:after="80"/>
        <w:jc w:val="center"/>
        <w:rPr>
          <w:lang w:val="fr-FR"/>
        </w:rPr>
      </w:pPr>
      <w:r>
        <w:rPr>
          <w:rFonts w:ascii="Calibri" w:eastAsia="Calibri" w:hAnsi="Calibri" w:cs="Calibri"/>
          <w:i/>
          <w:iCs/>
          <w:color w:val="6B7B8D"/>
          <w:sz w:val="20"/>
          <w:szCs w:val="20"/>
          <w:lang w:val="fr-FR"/>
        </w:rPr>
        <w:t>7 chapitres  •  4 scénarios prospectifs  •  3 zones géographiques</w:t>
      </w:r>
    </w:p>
    <w:p w14:paraId="3D419629" w14:textId="77777777" w:rsidR="007B7C96" w:rsidRPr="006716EC" w:rsidRDefault="007B7C96">
      <w:pPr>
        <w:spacing w:before="200"/>
        <w:rPr>
          <w:lang w:val="fr-FR"/>
        </w:rPr>
      </w:pPr>
    </w:p>
    <w:p w14:paraId="182A69C8" w14:textId="77777777" w:rsidR="007B7C96" w:rsidRPr="006716EC" w:rsidRDefault="00000000">
      <w:pPr>
        <w:spacing w:before="100" w:after="80"/>
        <w:ind w:left="1440" w:right="1440"/>
        <w:jc w:val="center"/>
        <w:rPr>
          <w:lang w:val="fr-FR"/>
        </w:rPr>
      </w:pPr>
      <w:r>
        <w:rPr>
          <w:rFonts w:ascii="Calibri" w:eastAsia="Calibri" w:hAnsi="Calibri" w:cs="Calibri"/>
          <w:b/>
          <w:bCs/>
          <w:color w:val="6B7B8D"/>
          <w:sz w:val="18"/>
          <w:szCs w:val="18"/>
          <w:lang w:val="fr-FR"/>
        </w:rPr>
        <w:t xml:space="preserve">Mots-clés : </w:t>
      </w:r>
      <w:r>
        <w:rPr>
          <w:rFonts w:ascii="Calibri" w:eastAsia="Calibri" w:hAnsi="Calibri" w:cs="Calibri"/>
          <w:i/>
          <w:iCs/>
          <w:color w:val="6B7B8D"/>
          <w:sz w:val="18"/>
          <w:szCs w:val="18"/>
          <w:lang w:val="fr-FR"/>
        </w:rPr>
        <w:t>intelligence artificielle, protectionnisme technologique, semi-conducteurs, export controls, compute souverain, géopolitique de l'IA, France, États-Unis, Chine</w:t>
      </w:r>
    </w:p>
    <w:p w14:paraId="2E28CAB1" w14:textId="77777777" w:rsidR="007B7C96" w:rsidRPr="006716EC" w:rsidRDefault="007B7C96">
      <w:pPr>
        <w:spacing w:before="400"/>
        <w:rPr>
          <w:lang w:val="fr-FR"/>
        </w:rPr>
      </w:pPr>
    </w:p>
    <w:p w14:paraId="6DF4A225" w14:textId="77777777" w:rsidR="007B7C96" w:rsidRPr="006716EC" w:rsidRDefault="00000000">
      <w:pPr>
        <w:shd w:val="clear" w:color="auto" w:fill="D4AC0D"/>
        <w:rPr>
          <w:lang w:val="fr-FR"/>
        </w:rPr>
        <w:sectPr w:rsidR="007B7C96" w:rsidRPr="006716EC">
          <w:pgSz w:w="11906" w:h="16838"/>
          <w:pgMar w:top="1134" w:right="1134" w:bottom="1134" w:left="1134" w:header="0" w:footer="0" w:gutter="0"/>
          <w:cols w:space="720"/>
          <w:formProt w:val="0"/>
        </w:sectPr>
      </w:pPr>
      <w:r>
        <w:rPr>
          <w:sz w:val="28"/>
          <w:szCs w:val="28"/>
          <w:lang w:val="fr-FR"/>
        </w:rPr>
        <w:t xml:space="preserve"> </w:t>
      </w:r>
    </w:p>
    <w:p w14:paraId="5CFD47F8" w14:textId="77777777" w:rsidR="007B7C96" w:rsidRPr="006716EC" w:rsidRDefault="00000000">
      <w:pPr>
        <w:spacing w:after="80"/>
        <w:rPr>
          <w:b/>
          <w:bCs/>
          <w:color w:val="2E75B6"/>
          <w:sz w:val="20"/>
          <w:szCs w:val="20"/>
          <w:lang w:val="fr-FR"/>
        </w:rPr>
      </w:pPr>
      <w:r>
        <w:rPr>
          <w:b/>
          <w:bCs/>
          <w:color w:val="2E75B6"/>
          <w:sz w:val="20"/>
          <w:szCs w:val="20"/>
          <w:lang w:val="fr-FR"/>
        </w:rPr>
        <w:lastRenderedPageBreak/>
        <w:t>CHAPITRE VI BIS</w:t>
      </w:r>
    </w:p>
    <w:p w14:paraId="7BBEEFE6" w14:textId="77777777" w:rsidR="007B7C96" w:rsidRPr="006716EC" w:rsidRDefault="00000000">
      <w:pPr>
        <w:pStyle w:val="Titre1"/>
        <w:rPr>
          <w:lang w:val="fr-FR"/>
        </w:rPr>
      </w:pPr>
      <w:r>
        <w:rPr>
          <w:lang w:val="fr-FR"/>
        </w:rPr>
        <w:t>Conséquences pour l’Amérique du Sud et le Brésil</w:t>
      </w:r>
    </w:p>
    <w:p w14:paraId="67063F97" w14:textId="77777777" w:rsidR="007B7C96" w:rsidRPr="006716EC" w:rsidRDefault="007B7C96">
      <w:pPr>
        <w:pBdr>
          <w:bottom w:val="single" w:sz="4" w:space="12" w:color="2E75B6"/>
        </w:pBdr>
        <w:spacing w:after="360"/>
        <w:rPr>
          <w:lang w:val="fr-FR"/>
        </w:rPr>
      </w:pPr>
    </w:p>
    <w:p w14:paraId="75C27991" w14:textId="77777777" w:rsidR="007B7C96" w:rsidRPr="006716EC" w:rsidRDefault="00000000">
      <w:pPr>
        <w:spacing w:after="160" w:line="312" w:lineRule="auto"/>
        <w:jc w:val="both"/>
        <w:rPr>
          <w:lang w:val="fr-FR"/>
        </w:rPr>
      </w:pPr>
      <w:r>
        <w:rPr>
          <w:color w:val="333333"/>
          <w:lang w:val="fr-FR"/>
        </w:rPr>
        <w:t>L’analyse des chapitres précédents s’est concentrée sur l’axe transatlantique US-Europe. Or, les conséquences du protectionnisme IA américain s’étendent bien au-delà de l’OCDE. L’Amérique du Sud, et le Brésil en particulier, constituent un cas d’étude révélateur : à la fois marché dynamique pour l’IA, terrain de compétition géopolitique US-Chine, et région structurellement dépendante du compute étranger tout en disposant d’atouts énergétiques uniques. Ce chapitre complémentaire analyse les conséquences spécifiques du régime protectionniste sur l’Amérique du Sud, avec un focus approfondi sur le Brésil.</w:t>
      </w:r>
    </w:p>
    <w:p w14:paraId="40BE973A" w14:textId="77777777" w:rsidR="007B7C96" w:rsidRPr="006716EC" w:rsidRDefault="00000000">
      <w:pPr>
        <w:pStyle w:val="Titre2"/>
        <w:rPr>
          <w:lang w:val="fr-FR"/>
        </w:rPr>
      </w:pPr>
      <w:r>
        <w:rPr>
          <w:lang w:val="fr-FR"/>
        </w:rPr>
        <w:t>6bis.1 Position structurelle : le Sud global face à l’asymétrie de compute</w:t>
      </w:r>
    </w:p>
    <w:p w14:paraId="6ABC671B" w14:textId="77777777" w:rsidR="007B7C96" w:rsidRPr="006716EC" w:rsidRDefault="00000000">
      <w:pPr>
        <w:pStyle w:val="Titre3"/>
        <w:rPr>
          <w:lang w:val="fr-FR"/>
        </w:rPr>
      </w:pPr>
      <w:r>
        <w:rPr>
          <w:lang w:val="fr-FR"/>
        </w:rPr>
        <w:t>6bis.1.1 Un écosystème en croissance rapide mais structurellement dépendant</w:t>
      </w:r>
    </w:p>
    <w:p w14:paraId="58CC6B3F" w14:textId="77777777" w:rsidR="007B7C96" w:rsidRPr="006716EC" w:rsidRDefault="00000000">
      <w:pPr>
        <w:spacing w:after="160" w:line="312" w:lineRule="auto"/>
        <w:jc w:val="both"/>
        <w:rPr>
          <w:lang w:val="fr-FR"/>
        </w:rPr>
      </w:pPr>
      <w:r>
        <w:rPr>
          <w:color w:val="333333"/>
          <w:lang w:val="fr-FR"/>
        </w:rPr>
        <w:t>L’Amérique latine représente 6,6 % du PIB mondial, mais n’attire que 1,12 % de l’investissement mondial en IA — un ratio de 5,9 qui mesure le déficit d’investissement de la région.</w:t>
      </w:r>
      <w:r>
        <w:rPr>
          <w:color w:val="2E75B6"/>
          <w:sz w:val="18"/>
          <w:szCs w:val="18"/>
          <w:vertAlign w:val="superscript"/>
          <w:lang w:val="fr-FR"/>
        </w:rPr>
        <w:t>1</w:t>
      </w:r>
      <w:r>
        <w:rPr>
          <w:color w:val="333333"/>
          <w:lang w:val="fr-FR"/>
        </w:rPr>
        <w:t xml:space="preserve"> Pourtant, les indicateurs d’adoption sont remarquablement dynamiques. L’indice latino-américain de l’intelligence artificielle (ILIA 2025), publié par la CEPALC et le CENIA chilien, classe trois pays comme « pionniers » (Chile, Brésil, Uruguay), huit comme « adoptants » (dont Colombie, Équateur, Costa Rica), et un tiers comme « explorateurs » avec des écosystèmes naissants.</w:t>
      </w:r>
      <w:r>
        <w:rPr>
          <w:color w:val="2E75B6"/>
          <w:sz w:val="18"/>
          <w:szCs w:val="18"/>
          <w:vertAlign w:val="superscript"/>
          <w:lang w:val="fr-FR"/>
        </w:rPr>
        <w:t>2</w:t>
      </w:r>
      <w:r>
        <w:rPr>
          <w:color w:val="333333"/>
          <w:lang w:val="fr-FR"/>
        </w:rPr>
        <w:t xml:space="preserve"> La région représente 14 % des visites mondiales de solutions IA et se classe troisième mondiale pour les téléchargements d’applications d’IA générative.</w:t>
      </w:r>
    </w:p>
    <w:p w14:paraId="353B3411" w14:textId="77777777" w:rsidR="007B7C96" w:rsidRPr="006716EC" w:rsidRDefault="00000000">
      <w:pPr>
        <w:spacing w:after="160" w:line="312" w:lineRule="auto"/>
        <w:ind w:firstLine="360"/>
        <w:jc w:val="both"/>
        <w:rPr>
          <w:lang w:val="fr-FR"/>
        </w:rPr>
      </w:pPr>
      <w:r>
        <w:rPr>
          <w:color w:val="333333"/>
          <w:lang w:val="fr-FR"/>
        </w:rPr>
        <w:t>Cette dynamique d’adoption contraste avec un déficit infrastructurel considérable. Les pays à revenu élevé hébergent 77 % de la capacité mondiale de data centers en colocation (juin 2025), contre 18 % pour les pays à revenu intermédiaire supérieur et 5 % pour les pays à revenu intermédiaire inférieur.</w:t>
      </w:r>
      <w:r>
        <w:rPr>
          <w:color w:val="2E75B6"/>
          <w:sz w:val="18"/>
          <w:szCs w:val="18"/>
          <w:vertAlign w:val="superscript"/>
          <w:lang w:val="fr-FR"/>
        </w:rPr>
        <w:t>3</w:t>
      </w:r>
      <w:r>
        <w:rPr>
          <w:color w:val="333333"/>
          <w:lang w:val="fr-FR"/>
        </w:rPr>
        <w:t xml:space="preserve"> Les pays à haut revenu concentrent également 87 % des modèles IA notables, 86 % des startups IA et 91 % du capital-risque IA, alors qu’ils ne représentent que 17 % de la population mondiale. L’Amérique latine se situe dans la catégorie intermédiaire : consommatrice dynamique d’IA, mais quasi-entièrement dépendante de l’infrastructure étrangère (américaine et, de plus en plus, chinoise) pour le compute.</w:t>
      </w:r>
    </w:p>
    <w:p w14:paraId="3B494465" w14:textId="77777777" w:rsidR="007B7C96" w:rsidRPr="006716EC" w:rsidRDefault="00000000">
      <w:pPr>
        <w:pStyle w:val="Titre3"/>
        <w:rPr>
          <w:lang w:val="fr-FR"/>
        </w:rPr>
      </w:pPr>
      <w:r>
        <w:rPr>
          <w:lang w:val="fr-FR"/>
        </w:rPr>
        <w:lastRenderedPageBreak/>
        <w:t>6bis.1.2 Classification Tier 2 : les caps d’accès au compute US</w:t>
      </w:r>
    </w:p>
    <w:p w14:paraId="04D1B6D4" w14:textId="77777777" w:rsidR="007B7C96" w:rsidRPr="006716EC" w:rsidRDefault="00000000">
      <w:pPr>
        <w:spacing w:after="160" w:line="312" w:lineRule="auto"/>
        <w:jc w:val="both"/>
        <w:rPr>
          <w:lang w:val="fr-FR"/>
        </w:rPr>
      </w:pPr>
      <w:r>
        <w:rPr>
          <w:color w:val="333333"/>
          <w:lang w:val="fr-FR"/>
        </w:rPr>
        <w:t>Dans le cadre de l’AI Diffusion Rule de janvier 2025 (administration Biden), l’ensemble de l’Amérique latine — y compris le Brésil, le Mexique et le Chili — est classé Tier 2, c’est-à-dire soumis à des caps quantitatifs sur les importations de GPU avancées. Le Tier 1 (accès illimité) est réservé à 20 alliés proches (Australie, Canada, France, Allemagne, Japon, etc.). Le Tier 3 (accès interdit) vise la Chine, la Russie et une vingtaine de pays.</w:t>
      </w:r>
      <w:r>
        <w:rPr>
          <w:color w:val="2E75B6"/>
          <w:sz w:val="18"/>
          <w:szCs w:val="18"/>
          <w:vertAlign w:val="superscript"/>
          <w:lang w:val="fr-FR"/>
        </w:rPr>
        <w:t>4</w:t>
      </w:r>
    </w:p>
    <w:p w14:paraId="7C5F9836" w14:textId="77777777" w:rsidR="007B7C96" w:rsidRPr="006716EC" w:rsidRDefault="00000000">
      <w:pPr>
        <w:spacing w:after="160" w:line="312" w:lineRule="auto"/>
        <w:ind w:firstLine="360"/>
        <w:jc w:val="both"/>
        <w:rPr>
          <w:lang w:val="fr-FR"/>
        </w:rPr>
      </w:pPr>
      <w:r>
        <w:rPr>
          <w:color w:val="333333"/>
          <w:lang w:val="fr-FR"/>
        </w:rPr>
        <w:t>Pour l’Amérique du Sud, cette classification Tier 2 signifie que les projets de data centers IA de grande envergure sont plafonnés en volume de GPU importables. Les caps initiaux de l’AI Diffusion Rule étaient d’environ 50 000 GPU entre 2025 et 2027 pour l’ensemble des pays Tier 2 (individuellement), un volume nettement insuffisant pour alimenter les mégaprojets annoncés. Brookings observe que même pour les pays Tier 2 les plus favorisés (Brésil, Inde), les caps américains signifient que leurs besoins en compute ne seront vraisemblablement pas satisfaits de manière constante.</w:t>
      </w:r>
      <w:r>
        <w:rPr>
          <w:color w:val="2E75B6"/>
          <w:sz w:val="18"/>
          <w:szCs w:val="18"/>
          <w:vertAlign w:val="superscript"/>
          <w:lang w:val="fr-FR"/>
        </w:rPr>
        <w:t>5</w:t>
      </w:r>
      <w:r>
        <w:rPr>
          <w:color w:val="333333"/>
          <w:lang w:val="fr-FR"/>
        </w:rPr>
        <w:t xml:space="preserve"> Bien que l’administration Trump ait rescindé l’AI Diffusion Rule en mai 2025 sans encore publier de règle de remplacement, l’incertitude réglementaire crée un risque d’approvisionnement qui pèse sur les décisions d’investissement. Le BIS a publié en juillet 2025 l’America’s AI Action Plan qui promeut l’export de « full-stack AI export packages » vers les alliés, tout en durcissant l’application vers les adversaires.</w:t>
      </w:r>
      <w:r>
        <w:rPr>
          <w:color w:val="2E75B6"/>
          <w:sz w:val="18"/>
          <w:szCs w:val="18"/>
          <w:vertAlign w:val="superscript"/>
          <w:lang w:val="fr-FR"/>
        </w:rPr>
        <w:t>6</w:t>
      </w:r>
    </w:p>
    <w:p w14:paraId="7A5F4E78" w14:textId="77777777" w:rsidR="007B7C96" w:rsidRPr="006716EC" w:rsidRDefault="00000000">
      <w:pPr>
        <w:pStyle w:val="Titre2"/>
        <w:rPr>
          <w:lang w:val="fr-FR"/>
        </w:rPr>
      </w:pPr>
      <w:r>
        <w:rPr>
          <w:lang w:val="fr-FR"/>
        </w:rPr>
        <w:t>6bis.2 Le Brésil : hub émergent entre deux blocs</w:t>
      </w:r>
    </w:p>
    <w:p w14:paraId="35523F5D" w14:textId="77777777" w:rsidR="007B7C96" w:rsidRPr="006716EC" w:rsidRDefault="00000000">
      <w:pPr>
        <w:pStyle w:val="Titre3"/>
        <w:rPr>
          <w:lang w:val="fr-FR"/>
        </w:rPr>
      </w:pPr>
      <w:r>
        <w:rPr>
          <w:lang w:val="fr-FR"/>
        </w:rPr>
        <w:t>6bis.2.1 Atouts structurels du Brésil pour l’IA</w:t>
      </w:r>
    </w:p>
    <w:p w14:paraId="2F55B0AC" w14:textId="77777777" w:rsidR="007B7C96" w:rsidRPr="006716EC" w:rsidRDefault="00000000">
      <w:pPr>
        <w:spacing w:after="160" w:line="312" w:lineRule="auto"/>
        <w:jc w:val="both"/>
        <w:rPr>
          <w:lang w:val="fr-FR"/>
        </w:rPr>
      </w:pPr>
      <w:r>
        <w:rPr>
          <w:color w:val="333333"/>
          <w:lang w:val="fr-FR"/>
        </w:rPr>
        <w:t>Le Brésil possède des avantages compétitifs objectifs pour l’infrastructure IA. Son mix électrique est renouvelable à 83 % (essentiellement hydroélectrique, complété par l’éolien et le solaire en forte croissance), avec un coût de l’électricité compétitif à environ 0,08 $/kWh. Le réseau électrique national interconnecté (SIN) dispose de capacités excédentaires, et le pays possède une base de câbles sous-marins de télécommunications (notamment le hub de Fortaleza) offrant l’une des routes les plus courtes vers l’Europe et l’Afrique.</w:t>
      </w:r>
      <w:r>
        <w:rPr>
          <w:color w:val="2E75B6"/>
          <w:sz w:val="18"/>
          <w:szCs w:val="18"/>
          <w:vertAlign w:val="superscript"/>
          <w:lang w:val="fr-FR"/>
        </w:rPr>
        <w:t>7</w:t>
      </w:r>
    </w:p>
    <w:p w14:paraId="056780D1" w14:textId="77777777" w:rsidR="007B7C96" w:rsidRPr="006716EC" w:rsidRDefault="00000000">
      <w:pPr>
        <w:spacing w:after="160" w:line="312" w:lineRule="auto"/>
        <w:ind w:firstLine="360"/>
        <w:jc w:val="both"/>
        <w:rPr>
          <w:lang w:val="fr-FR"/>
        </w:rPr>
      </w:pPr>
      <w:r>
        <w:rPr>
          <w:color w:val="333333"/>
          <w:lang w:val="fr-FR"/>
        </w:rPr>
        <w:t>Le marché brésilien des data centers est le plus important d’Amérique latine, représentant plus de 41 % des investissements régionaux. La capacité IT installée a atteint environ 1 GW fin 2025, avec 202 projets actifs et 23 achevés prévus d’ici fin 2026. Le marché des data centers IA spécifiquement est évalué à 0,55 milliard de dollars en 2025, projeté à 1,24 milliard d’ici 2030 (croissance annuelle de 17,5 %).</w:t>
      </w:r>
      <w:r>
        <w:rPr>
          <w:color w:val="2E75B6"/>
          <w:sz w:val="18"/>
          <w:szCs w:val="18"/>
          <w:vertAlign w:val="superscript"/>
          <w:lang w:val="fr-FR"/>
        </w:rPr>
        <w:t>8</w:t>
      </w:r>
      <w:r>
        <w:rPr>
          <w:color w:val="333333"/>
          <w:lang w:val="fr-FR"/>
        </w:rPr>
        <w:t xml:space="preserve"> L’Association brésilienne des data centers (ABDC) projette que la demande d’énergie des data centers pourrait atteindre 13,7 GW d’ici 2035.</w:t>
      </w:r>
    </w:p>
    <w:p w14:paraId="6EC58C98" w14:textId="77777777" w:rsidR="007B7C96" w:rsidRPr="006716EC" w:rsidRDefault="00000000">
      <w:pPr>
        <w:spacing w:after="160" w:line="312" w:lineRule="auto"/>
        <w:ind w:firstLine="360"/>
        <w:jc w:val="both"/>
        <w:rPr>
          <w:lang w:val="fr-FR"/>
        </w:rPr>
      </w:pPr>
      <w:r>
        <w:rPr>
          <w:color w:val="333333"/>
          <w:lang w:val="fr-FR"/>
        </w:rPr>
        <w:t xml:space="preserve">Le gouvernement Lula a pris des mesures concrètes pour accélérer le développement. En septembre 2025, la mesure provisoire Redata a été adoptée, créant un régime fiscal spécial qui réduit de 50 % le coût du capital pour les data centers via </w:t>
        <w:lastRenderedPageBreak/>
        <w:t>l’exonération des impôts sur les actifs IT, avec des avantages valides jusqu’à décembre 2026. Le Plan brésilien d’intelligence artificielle (PBIA) vise à transformer le pays en hub mondial de data centers, et la BNDES (Banque nationale de développement) a lancé un fonds dédié IA et data centers avec un capital initial de 500 millions à 1 milliard de réaux (93–187 millions de dollars).</w:t>
      </w:r>
      <w:r>
        <w:rPr>
          <w:color w:val="2E75B6"/>
          <w:sz w:val="18"/>
          <w:szCs w:val="18"/>
          <w:vertAlign w:val="superscript"/>
          <w:lang w:val="fr-FR"/>
        </w:rPr>
        <w:t>9</w:t>
      </w:r>
    </w:p>
    <w:p w14:paraId="2BAF85AD" w14:textId="77777777" w:rsidR="007B7C96" w:rsidRPr="006716EC" w:rsidRDefault="00000000">
      <w:pPr>
        <w:pStyle w:val="Titre3"/>
        <w:rPr>
          <w:lang w:val="fr-FR"/>
        </w:rPr>
      </w:pPr>
      <w:r>
        <w:rPr>
          <w:lang w:val="fr-FR"/>
        </w:rPr>
        <w:t>6bis.2.2 Mégaprojets et dualité US-Chine</w:t>
      </w:r>
    </w:p>
    <w:p w14:paraId="07A80B67" w14:textId="77777777" w:rsidR="007B7C96" w:rsidRPr="006716EC" w:rsidRDefault="00000000">
      <w:pPr>
        <w:spacing w:after="160" w:line="312" w:lineRule="auto"/>
        <w:jc w:val="both"/>
        <w:rPr>
          <w:lang w:val="fr-FR"/>
        </w:rPr>
      </w:pPr>
      <w:r>
        <w:rPr>
          <w:color w:val="333333"/>
          <w:lang w:val="fr-FR"/>
        </w:rPr>
        <w:t>Le Brésil est devenu le théâtre d’une compétition directe entre investissements américains et chinois en infrastructure IA, une dualité qui révèle les dynamiques créées par le protectionnisme US.</w:t>
      </w:r>
    </w:p>
    <w:p w14:paraId="54CA21D1" w14:textId="77777777" w:rsidR="007B7C96" w:rsidRPr="006716EC" w:rsidRDefault="00000000">
      <w:pPr>
        <w:spacing w:after="160" w:line="312" w:lineRule="auto"/>
        <w:ind w:firstLine="360"/>
        <w:jc w:val="both"/>
        <w:rPr>
          <w:lang w:val="fr-FR"/>
        </w:rPr>
      </w:pPr>
      <w:r>
        <w:rPr>
          <w:color w:val="333333"/>
          <w:lang w:val="fr-FR"/>
        </w:rPr>
        <w:t>Côté chinois, le projet le plus spectaculaire est le data center TikTok-ByteDance de Pecém (Ceará), annoncé en décembre 2025 : 200 milliards de réaux (environ 38 milliards de dollars), en partenariat avec le développeur Omnia (Patria Investments) et le producteur d’énergie renouvelable Casa dos Ventos.</w:t>
      </w:r>
      <w:r>
        <w:rPr>
          <w:color w:val="2E75B6"/>
          <w:sz w:val="18"/>
          <w:szCs w:val="18"/>
          <w:vertAlign w:val="superscript"/>
          <w:lang w:val="fr-FR"/>
        </w:rPr>
        <w:t>10</w:t>
      </w:r>
      <w:r>
        <w:rPr>
          <w:color w:val="333333"/>
          <w:lang w:val="fr-FR"/>
        </w:rPr>
        <w:t xml:space="preserve"> Le projet, dont la construction doit débuter en avril 2026, sera alimenté entièrement par de l’énergie éolienne (300 MW initiaux, extensibles à 900 MW voire 1 GW). Il constitue le plus gros investissement privé en data center jamais annoncé au Brésil et le premier projet de ByteDance en Amérique latine. L’investissement s’inscrit dans un contexte où TikTok fait face à des menaces de blocage aux États-Unis et où la Chine cherche à diversifier ses infrastructures de compute hors de sa zone de risque géopolitique directe.</w:t>
      </w:r>
    </w:p>
    <w:p w14:paraId="69803FFE" w14:textId="77777777" w:rsidR="007B7C96" w:rsidRPr="006716EC" w:rsidRDefault="00000000">
      <w:pPr>
        <w:spacing w:after="160" w:line="312" w:lineRule="auto"/>
        <w:ind w:firstLine="360"/>
        <w:jc w:val="both"/>
        <w:rPr>
          <w:lang w:val="fr-FR"/>
        </w:rPr>
      </w:pPr>
      <w:r>
        <w:rPr>
          <w:color w:val="333333"/>
          <w:lang w:val="fr-FR"/>
        </w:rPr>
        <w:t>Côté américain, Microsoft a annoncé un investissement de 2,7 milliards de dollars sur trois ans en infrastructure cloud et IA au Brésil, dans le cadre de son engagement global de 50 milliards de dollars pour le Sud global d’ici 2030.</w:t>
      </w:r>
      <w:r>
        <w:rPr>
          <w:color w:val="2E75B6"/>
          <w:sz w:val="18"/>
          <w:szCs w:val="18"/>
          <w:vertAlign w:val="superscript"/>
          <w:lang w:val="fr-FR"/>
        </w:rPr>
        <w:t>11</w:t>
      </w:r>
      <w:r>
        <w:rPr>
          <w:color w:val="333333"/>
          <w:lang w:val="fr-FR"/>
        </w:rPr>
        <w:t xml:space="preserve"> AWS et Google disposent déjà de régions cloud au Brésil (São Paulo). Les hyperscalers US contrôlent environ 55 % du marché brésilien du cloud (AWS, Azure, GCP), une domination moindre qu’en Europe (70 %) mais suffisante pour structurer la dépendance.</w:t>
      </w:r>
    </w:p>
    <w:p w14:paraId="7823D0C8" w14:textId="77777777" w:rsidR="007B7C96" w:rsidRPr="006716EC" w:rsidRDefault="00000000">
      <w:pPr>
        <w:spacing w:after="160" w:line="312" w:lineRule="auto"/>
        <w:ind w:firstLine="360"/>
        <w:jc w:val="both"/>
        <w:rPr>
          <w:lang w:val="fr-FR"/>
        </w:rPr>
      </w:pPr>
      <w:r>
        <w:rPr>
          <w:color w:val="333333"/>
          <w:lang w:val="fr-FR"/>
        </w:rPr>
        <w:t>D’autres mégaprojets illustrent l’ampleur des ambitions. Scala Data Centers a annoncé l’AI City d’Eldorado do Sul (Rio Grande do Sul), avec 1 800 MW de capacité et un potentiel de 5 000 MW d’ici 2033. Elea Data Centers développe la Rio AI City, présentée comme le plus grand campus de data centers d’Amérique latine, avec 1,8 GW de capacité d’ici 2027 et 3,2 GW d’ici 2032, avec Oracle et Nvidia comme partenaires technologiques.</w:t>
      </w:r>
      <w:r>
        <w:rPr>
          <w:color w:val="2E75B6"/>
          <w:sz w:val="18"/>
          <w:szCs w:val="18"/>
          <w:vertAlign w:val="superscript"/>
          <w:lang w:val="fr-FR"/>
        </w:rPr>
        <w:t>12</w:t>
      </w:r>
    </w:p>
    <w:p w14:paraId="110D7CE0" w14:textId="77777777" w:rsidR="007B7C96" w:rsidRPr="006716EC" w:rsidRDefault="007B7C96">
      <w:pPr>
        <w:spacing w:after="80"/>
        <w:rPr>
          <w:lang w:val="fr-FR"/>
        </w:rPr>
      </w:pPr>
    </w:p>
    <w:tbl>
      <w:tblPr>
        <w:tblW w:w="8826" w:type="dxa"/>
        <w:tblLayout w:type="fixed"/>
        <w:tblCellMar>
          <w:top w:w="80" w:type="dxa"/>
          <w:left w:w="120" w:type="dxa"/>
          <w:bottom w:w="80" w:type="dxa"/>
          <w:right w:w="120" w:type="dxa"/>
        </w:tblCellMar>
        <w:tblLook w:val="04A0" w:firstRow="1" w:lastRow="0" w:firstColumn="1" w:lastColumn="0" w:noHBand="0" w:noVBand="1"/>
      </w:tblPr>
      <w:tblGrid>
        <w:gridCol w:w="2200"/>
        <w:gridCol w:w="1199"/>
        <w:gridCol w:w="1600"/>
        <w:gridCol w:w="1226"/>
        <w:gridCol w:w="2601"/>
      </w:tblGrid>
      <w:tr w:rsidR="007B7C96" w14:paraId="1B124FED" w14:textId="77777777">
        <w:tc>
          <w:tcPr>
            <w:tcW w:w="2200" w:type="dxa"/>
            <w:tcBorders>
              <w:top w:val="single" w:sz="2" w:space="0" w:color="CCCCCC"/>
              <w:left w:val="single" w:sz="2" w:space="0" w:color="CCCCCC"/>
              <w:bottom w:val="single" w:sz="2" w:space="0" w:color="CCCCCC"/>
              <w:right w:val="single" w:sz="2" w:space="0" w:color="CCCCCC"/>
            </w:tcBorders>
            <w:shd w:val="clear" w:color="auto" w:fill="1B3A5C"/>
          </w:tcPr>
          <w:p w14:paraId="4D7C465C" w14:textId="77777777" w:rsidR="007B7C96" w:rsidRDefault="00000000">
            <w:r>
              <w:rPr>
                <w:b/>
                <w:bCs/>
                <w:color w:val="FFFFFF"/>
                <w:sz w:val="20"/>
                <w:szCs w:val="20"/>
              </w:rPr>
              <w:t>Projet</w:t>
            </w:r>
          </w:p>
        </w:tc>
        <w:tc>
          <w:tcPr>
            <w:tcW w:w="1199" w:type="dxa"/>
            <w:tcBorders>
              <w:top w:val="single" w:sz="2" w:space="0" w:color="CCCCCC"/>
              <w:left w:val="single" w:sz="2" w:space="0" w:color="CCCCCC"/>
              <w:bottom w:val="single" w:sz="2" w:space="0" w:color="CCCCCC"/>
              <w:right w:val="single" w:sz="2" w:space="0" w:color="CCCCCC"/>
            </w:tcBorders>
            <w:shd w:val="clear" w:color="auto" w:fill="1B3A5C"/>
          </w:tcPr>
          <w:p w14:paraId="33A41EF9" w14:textId="77777777" w:rsidR="007B7C96" w:rsidRDefault="00000000">
            <w:r>
              <w:rPr>
                <w:b/>
                <w:bCs/>
                <w:color w:val="FFFFFF"/>
                <w:sz w:val="20"/>
                <w:szCs w:val="20"/>
              </w:rPr>
              <w:t>Origine</w:t>
            </w:r>
          </w:p>
        </w:tc>
        <w:tc>
          <w:tcPr>
            <w:tcW w:w="1600" w:type="dxa"/>
            <w:tcBorders>
              <w:top w:val="single" w:sz="2" w:space="0" w:color="CCCCCC"/>
              <w:left w:val="single" w:sz="2" w:space="0" w:color="CCCCCC"/>
              <w:bottom w:val="single" w:sz="2" w:space="0" w:color="CCCCCC"/>
              <w:right w:val="single" w:sz="2" w:space="0" w:color="CCCCCC"/>
            </w:tcBorders>
            <w:shd w:val="clear" w:color="auto" w:fill="1B3A5C"/>
          </w:tcPr>
          <w:p w14:paraId="3A451159" w14:textId="77777777" w:rsidR="007B7C96" w:rsidRDefault="00000000">
            <w:r>
              <w:rPr>
                <w:b/>
                <w:bCs/>
                <w:color w:val="FFFFFF"/>
                <w:sz w:val="20"/>
                <w:szCs w:val="20"/>
              </w:rPr>
              <w:t>Investissement</w:t>
            </w:r>
          </w:p>
        </w:tc>
        <w:tc>
          <w:tcPr>
            <w:tcW w:w="1226" w:type="dxa"/>
            <w:tcBorders>
              <w:top w:val="single" w:sz="2" w:space="0" w:color="CCCCCC"/>
              <w:left w:val="single" w:sz="2" w:space="0" w:color="CCCCCC"/>
              <w:bottom w:val="single" w:sz="2" w:space="0" w:color="CCCCCC"/>
              <w:right w:val="single" w:sz="2" w:space="0" w:color="CCCCCC"/>
            </w:tcBorders>
            <w:shd w:val="clear" w:color="auto" w:fill="1B3A5C"/>
          </w:tcPr>
          <w:p w14:paraId="06B74379" w14:textId="77777777" w:rsidR="007B7C96" w:rsidRDefault="00000000">
            <w:r>
              <w:rPr>
                <w:b/>
                <w:bCs/>
                <w:color w:val="FFFFFF"/>
                <w:sz w:val="20"/>
                <w:szCs w:val="20"/>
              </w:rPr>
              <w:t>Capacité</w:t>
            </w:r>
          </w:p>
        </w:tc>
        <w:tc>
          <w:tcPr>
            <w:tcW w:w="2601" w:type="dxa"/>
            <w:tcBorders>
              <w:top w:val="single" w:sz="2" w:space="0" w:color="CCCCCC"/>
              <w:left w:val="single" w:sz="2" w:space="0" w:color="CCCCCC"/>
              <w:bottom w:val="single" w:sz="2" w:space="0" w:color="CCCCCC"/>
              <w:right w:val="single" w:sz="2" w:space="0" w:color="CCCCCC"/>
            </w:tcBorders>
            <w:shd w:val="clear" w:color="auto" w:fill="1B3A5C"/>
          </w:tcPr>
          <w:p w14:paraId="3FA43F04" w14:textId="77777777" w:rsidR="007B7C96" w:rsidRDefault="00000000">
            <w:r>
              <w:rPr>
                <w:b/>
                <w:bCs/>
                <w:color w:val="FFFFFF"/>
                <w:sz w:val="20"/>
                <w:szCs w:val="20"/>
              </w:rPr>
              <w:t>Caractéristique</w:t>
            </w:r>
          </w:p>
        </w:tc>
      </w:tr>
      <w:tr w:rsidR="007B7C96" w14:paraId="71CD9870" w14:textId="77777777">
        <w:tc>
          <w:tcPr>
            <w:tcW w:w="2200" w:type="dxa"/>
            <w:tcBorders>
              <w:top w:val="single" w:sz="2" w:space="0" w:color="CCCCCC"/>
              <w:left w:val="single" w:sz="2" w:space="0" w:color="CCCCCC"/>
              <w:bottom w:val="single" w:sz="2" w:space="0" w:color="CCCCCC"/>
              <w:right w:val="single" w:sz="2" w:space="0" w:color="CCCCCC"/>
            </w:tcBorders>
          </w:tcPr>
          <w:p w14:paraId="2890F7EA" w14:textId="77777777" w:rsidR="007B7C96" w:rsidRDefault="00000000">
            <w:pPr>
              <w:spacing w:after="40" w:line="276" w:lineRule="auto"/>
            </w:pPr>
            <w:r>
              <w:rPr>
                <w:b/>
                <w:bCs/>
                <w:color w:val="333333"/>
                <w:sz w:val="20"/>
                <w:szCs w:val="20"/>
              </w:rPr>
              <w:t>TikTok Pecém</w:t>
            </w:r>
          </w:p>
        </w:tc>
        <w:tc>
          <w:tcPr>
            <w:tcW w:w="1199" w:type="dxa"/>
            <w:tcBorders>
              <w:top w:val="single" w:sz="2" w:space="0" w:color="CCCCCC"/>
              <w:left w:val="single" w:sz="2" w:space="0" w:color="CCCCCC"/>
              <w:bottom w:val="single" w:sz="2" w:space="0" w:color="CCCCCC"/>
              <w:right w:val="single" w:sz="2" w:space="0" w:color="CCCCCC"/>
            </w:tcBorders>
          </w:tcPr>
          <w:p w14:paraId="5C83840E" w14:textId="77777777" w:rsidR="007B7C96" w:rsidRDefault="00000000">
            <w:pPr>
              <w:spacing w:after="40" w:line="276" w:lineRule="auto"/>
            </w:pPr>
            <w:r>
              <w:rPr>
                <w:color w:val="C0392B"/>
                <w:sz w:val="20"/>
                <w:szCs w:val="20"/>
              </w:rPr>
              <w:t>Chine</w:t>
            </w:r>
          </w:p>
        </w:tc>
        <w:tc>
          <w:tcPr>
            <w:tcW w:w="1600" w:type="dxa"/>
            <w:tcBorders>
              <w:top w:val="single" w:sz="2" w:space="0" w:color="CCCCCC"/>
              <w:left w:val="single" w:sz="2" w:space="0" w:color="CCCCCC"/>
              <w:bottom w:val="single" w:sz="2" w:space="0" w:color="CCCCCC"/>
              <w:right w:val="single" w:sz="2" w:space="0" w:color="CCCCCC"/>
            </w:tcBorders>
          </w:tcPr>
          <w:p w14:paraId="3C6DE1D5" w14:textId="77777777" w:rsidR="007B7C96" w:rsidRDefault="00000000">
            <w:pPr>
              <w:spacing w:after="40" w:line="276" w:lineRule="auto"/>
            </w:pPr>
            <w:r>
              <w:rPr>
                <w:color w:val="333333"/>
                <w:sz w:val="20"/>
                <w:szCs w:val="20"/>
              </w:rPr>
              <w:t>~38 Md$</w:t>
            </w:r>
          </w:p>
        </w:tc>
        <w:tc>
          <w:tcPr>
            <w:tcW w:w="1226" w:type="dxa"/>
            <w:tcBorders>
              <w:top w:val="single" w:sz="2" w:space="0" w:color="CCCCCC"/>
              <w:left w:val="single" w:sz="2" w:space="0" w:color="CCCCCC"/>
              <w:bottom w:val="single" w:sz="2" w:space="0" w:color="CCCCCC"/>
              <w:right w:val="single" w:sz="2" w:space="0" w:color="CCCCCC"/>
            </w:tcBorders>
          </w:tcPr>
          <w:p w14:paraId="5E7D6C90" w14:textId="77777777" w:rsidR="007B7C96" w:rsidRDefault="00000000">
            <w:pPr>
              <w:spacing w:after="40" w:line="276" w:lineRule="auto"/>
            </w:pPr>
            <w:r>
              <w:rPr>
                <w:color w:val="333333"/>
                <w:sz w:val="20"/>
                <w:szCs w:val="20"/>
              </w:rPr>
              <w:t>300 MW → 1 GW</w:t>
            </w:r>
          </w:p>
        </w:tc>
        <w:tc>
          <w:tcPr>
            <w:tcW w:w="2601" w:type="dxa"/>
            <w:tcBorders>
              <w:top w:val="single" w:sz="2" w:space="0" w:color="CCCCCC"/>
              <w:left w:val="single" w:sz="2" w:space="0" w:color="CCCCCC"/>
              <w:bottom w:val="single" w:sz="2" w:space="0" w:color="CCCCCC"/>
              <w:right w:val="single" w:sz="2" w:space="0" w:color="CCCCCC"/>
            </w:tcBorders>
          </w:tcPr>
          <w:p w14:paraId="0CBAB565" w14:textId="77777777" w:rsidR="007B7C96" w:rsidRDefault="00000000">
            <w:pPr>
              <w:spacing w:after="40" w:line="276" w:lineRule="auto"/>
            </w:pPr>
            <w:r>
              <w:rPr>
                <w:color w:val="333333"/>
                <w:sz w:val="20"/>
                <w:szCs w:val="20"/>
              </w:rPr>
              <w:t>100 % éolien ; 1er projet LATAM ByteDance</w:t>
            </w:r>
          </w:p>
        </w:tc>
      </w:tr>
      <w:tr w:rsidR="007B7C96" w:rsidRPr="006716EC" w14:paraId="45A52689" w14:textId="77777777">
        <w:tc>
          <w:tcPr>
            <w:tcW w:w="2200" w:type="dxa"/>
            <w:tcBorders>
              <w:top w:val="single" w:sz="2" w:space="0" w:color="CCCCCC"/>
              <w:left w:val="single" w:sz="2" w:space="0" w:color="CCCCCC"/>
              <w:bottom w:val="single" w:sz="2" w:space="0" w:color="CCCCCC"/>
              <w:right w:val="single" w:sz="2" w:space="0" w:color="CCCCCC"/>
            </w:tcBorders>
          </w:tcPr>
          <w:p w14:paraId="775DFC17" w14:textId="77777777" w:rsidR="007B7C96" w:rsidRDefault="00000000">
            <w:pPr>
              <w:spacing w:after="40" w:line="276" w:lineRule="auto"/>
            </w:pPr>
            <w:r>
              <w:rPr>
                <w:b/>
                <w:bCs/>
                <w:color w:val="333333"/>
                <w:sz w:val="20"/>
                <w:szCs w:val="20"/>
              </w:rPr>
              <w:lastRenderedPageBreak/>
              <w:t>Scala AI City</w:t>
            </w:r>
          </w:p>
        </w:tc>
        <w:tc>
          <w:tcPr>
            <w:tcW w:w="1199" w:type="dxa"/>
            <w:tcBorders>
              <w:top w:val="single" w:sz="2" w:space="0" w:color="CCCCCC"/>
              <w:left w:val="single" w:sz="2" w:space="0" w:color="CCCCCC"/>
              <w:bottom w:val="single" w:sz="2" w:space="0" w:color="CCCCCC"/>
              <w:right w:val="single" w:sz="2" w:space="0" w:color="CCCCCC"/>
            </w:tcBorders>
          </w:tcPr>
          <w:p w14:paraId="6B9D04D9" w14:textId="77777777" w:rsidR="007B7C96" w:rsidRDefault="00000000">
            <w:pPr>
              <w:spacing w:after="40" w:line="276" w:lineRule="auto"/>
            </w:pPr>
            <w:r>
              <w:rPr>
                <w:color w:val="333333"/>
                <w:sz w:val="20"/>
                <w:szCs w:val="20"/>
              </w:rPr>
              <w:t>Brésil/US</w:t>
            </w:r>
          </w:p>
        </w:tc>
        <w:tc>
          <w:tcPr>
            <w:tcW w:w="1600" w:type="dxa"/>
            <w:tcBorders>
              <w:top w:val="single" w:sz="2" w:space="0" w:color="CCCCCC"/>
              <w:left w:val="single" w:sz="2" w:space="0" w:color="CCCCCC"/>
              <w:bottom w:val="single" w:sz="2" w:space="0" w:color="CCCCCC"/>
              <w:right w:val="single" w:sz="2" w:space="0" w:color="CCCCCC"/>
            </w:tcBorders>
          </w:tcPr>
          <w:p w14:paraId="01CFFAD6" w14:textId="77777777" w:rsidR="007B7C96" w:rsidRDefault="00000000">
            <w:pPr>
              <w:spacing w:after="40" w:line="276" w:lineRule="auto"/>
            </w:pPr>
            <w:r>
              <w:rPr>
                <w:color w:val="333333"/>
                <w:sz w:val="20"/>
                <w:szCs w:val="20"/>
              </w:rPr>
              <w:t>Multi-Md$</w:t>
            </w:r>
          </w:p>
        </w:tc>
        <w:tc>
          <w:tcPr>
            <w:tcW w:w="1226" w:type="dxa"/>
            <w:tcBorders>
              <w:top w:val="single" w:sz="2" w:space="0" w:color="CCCCCC"/>
              <w:left w:val="single" w:sz="2" w:space="0" w:color="CCCCCC"/>
              <w:bottom w:val="single" w:sz="2" w:space="0" w:color="CCCCCC"/>
              <w:right w:val="single" w:sz="2" w:space="0" w:color="CCCCCC"/>
            </w:tcBorders>
          </w:tcPr>
          <w:p w14:paraId="22D69CEA" w14:textId="77777777" w:rsidR="007B7C96" w:rsidRDefault="00000000">
            <w:pPr>
              <w:spacing w:after="40" w:line="276" w:lineRule="auto"/>
            </w:pPr>
            <w:r>
              <w:rPr>
                <w:color w:val="333333"/>
                <w:sz w:val="20"/>
                <w:szCs w:val="20"/>
              </w:rPr>
              <w:t>1,8 → 5 GW</w:t>
            </w:r>
          </w:p>
        </w:tc>
        <w:tc>
          <w:tcPr>
            <w:tcW w:w="2601" w:type="dxa"/>
            <w:tcBorders>
              <w:top w:val="single" w:sz="2" w:space="0" w:color="CCCCCC"/>
              <w:left w:val="single" w:sz="2" w:space="0" w:color="CCCCCC"/>
              <w:bottom w:val="single" w:sz="2" w:space="0" w:color="CCCCCC"/>
              <w:right w:val="single" w:sz="2" w:space="0" w:color="CCCCCC"/>
            </w:tcBorders>
          </w:tcPr>
          <w:p w14:paraId="1E4E8731" w14:textId="77777777" w:rsidR="007B7C96" w:rsidRPr="006716EC" w:rsidRDefault="00000000">
            <w:pPr>
              <w:spacing w:after="40" w:line="276" w:lineRule="auto"/>
              <w:rPr>
                <w:lang w:val="fr-FR"/>
              </w:rPr>
            </w:pPr>
            <w:r>
              <w:rPr>
                <w:color w:val="333333"/>
                <w:sz w:val="20"/>
                <w:szCs w:val="20"/>
                <w:lang w:val="fr-FR"/>
              </w:rPr>
              <w:t>Plus grande install. planifiée Am. du Sud</w:t>
            </w:r>
          </w:p>
        </w:tc>
      </w:tr>
      <w:tr w:rsidR="007B7C96" w14:paraId="1D1E671B" w14:textId="77777777">
        <w:tc>
          <w:tcPr>
            <w:tcW w:w="2200" w:type="dxa"/>
            <w:tcBorders>
              <w:top w:val="single" w:sz="2" w:space="0" w:color="CCCCCC"/>
              <w:left w:val="single" w:sz="2" w:space="0" w:color="CCCCCC"/>
              <w:bottom w:val="single" w:sz="2" w:space="0" w:color="CCCCCC"/>
              <w:right w:val="single" w:sz="2" w:space="0" w:color="CCCCCC"/>
            </w:tcBorders>
          </w:tcPr>
          <w:p w14:paraId="6BC43766" w14:textId="77777777" w:rsidR="007B7C96" w:rsidRDefault="00000000">
            <w:pPr>
              <w:spacing w:after="40" w:line="276" w:lineRule="auto"/>
            </w:pPr>
            <w:r>
              <w:rPr>
                <w:b/>
                <w:bCs/>
                <w:color w:val="333333"/>
                <w:sz w:val="20"/>
                <w:szCs w:val="20"/>
              </w:rPr>
              <w:t>Elea Rio AI City</w:t>
            </w:r>
          </w:p>
        </w:tc>
        <w:tc>
          <w:tcPr>
            <w:tcW w:w="1199" w:type="dxa"/>
            <w:tcBorders>
              <w:top w:val="single" w:sz="2" w:space="0" w:color="CCCCCC"/>
              <w:left w:val="single" w:sz="2" w:space="0" w:color="CCCCCC"/>
              <w:bottom w:val="single" w:sz="2" w:space="0" w:color="CCCCCC"/>
              <w:right w:val="single" w:sz="2" w:space="0" w:color="CCCCCC"/>
            </w:tcBorders>
          </w:tcPr>
          <w:p w14:paraId="618E37E4" w14:textId="77777777" w:rsidR="007B7C96" w:rsidRDefault="00000000">
            <w:pPr>
              <w:spacing w:after="40" w:line="276" w:lineRule="auto"/>
            </w:pPr>
            <w:r>
              <w:rPr>
                <w:color w:val="333333"/>
                <w:sz w:val="20"/>
                <w:szCs w:val="20"/>
              </w:rPr>
              <w:t>Brésil/US</w:t>
            </w:r>
          </w:p>
        </w:tc>
        <w:tc>
          <w:tcPr>
            <w:tcW w:w="1600" w:type="dxa"/>
            <w:tcBorders>
              <w:top w:val="single" w:sz="2" w:space="0" w:color="CCCCCC"/>
              <w:left w:val="single" w:sz="2" w:space="0" w:color="CCCCCC"/>
              <w:bottom w:val="single" w:sz="2" w:space="0" w:color="CCCCCC"/>
              <w:right w:val="single" w:sz="2" w:space="0" w:color="CCCCCC"/>
            </w:tcBorders>
          </w:tcPr>
          <w:p w14:paraId="28031F24" w14:textId="77777777" w:rsidR="007B7C96" w:rsidRDefault="00000000">
            <w:pPr>
              <w:spacing w:after="40" w:line="276" w:lineRule="auto"/>
            </w:pPr>
            <w:r>
              <w:rPr>
                <w:color w:val="333333"/>
                <w:sz w:val="20"/>
                <w:szCs w:val="20"/>
              </w:rPr>
              <w:t>Multi-Md$</w:t>
            </w:r>
          </w:p>
        </w:tc>
        <w:tc>
          <w:tcPr>
            <w:tcW w:w="1226" w:type="dxa"/>
            <w:tcBorders>
              <w:top w:val="single" w:sz="2" w:space="0" w:color="CCCCCC"/>
              <w:left w:val="single" w:sz="2" w:space="0" w:color="CCCCCC"/>
              <w:bottom w:val="single" w:sz="2" w:space="0" w:color="CCCCCC"/>
              <w:right w:val="single" w:sz="2" w:space="0" w:color="CCCCCC"/>
            </w:tcBorders>
          </w:tcPr>
          <w:p w14:paraId="1ACE5E7B" w14:textId="77777777" w:rsidR="007B7C96" w:rsidRDefault="00000000">
            <w:pPr>
              <w:spacing w:after="40" w:line="276" w:lineRule="auto"/>
            </w:pPr>
            <w:r>
              <w:rPr>
                <w:color w:val="333333"/>
                <w:sz w:val="20"/>
                <w:szCs w:val="20"/>
              </w:rPr>
              <w:t>1,8 → 3,2 GW</w:t>
            </w:r>
          </w:p>
        </w:tc>
        <w:tc>
          <w:tcPr>
            <w:tcW w:w="2601" w:type="dxa"/>
            <w:tcBorders>
              <w:top w:val="single" w:sz="2" w:space="0" w:color="CCCCCC"/>
              <w:left w:val="single" w:sz="2" w:space="0" w:color="CCCCCC"/>
              <w:bottom w:val="single" w:sz="2" w:space="0" w:color="CCCCCC"/>
              <w:right w:val="single" w:sz="2" w:space="0" w:color="CCCCCC"/>
            </w:tcBorders>
          </w:tcPr>
          <w:p w14:paraId="7A0B4336" w14:textId="77777777" w:rsidR="007B7C96" w:rsidRDefault="00000000">
            <w:pPr>
              <w:spacing w:after="40" w:line="276" w:lineRule="auto"/>
            </w:pPr>
            <w:r>
              <w:rPr>
                <w:color w:val="333333"/>
                <w:sz w:val="20"/>
                <w:szCs w:val="20"/>
              </w:rPr>
              <w:t>Oracle + Nvidia partenaires tech.</w:t>
            </w:r>
          </w:p>
        </w:tc>
      </w:tr>
      <w:tr w:rsidR="007B7C96" w14:paraId="23972AEC" w14:textId="77777777">
        <w:tc>
          <w:tcPr>
            <w:tcW w:w="2200" w:type="dxa"/>
            <w:tcBorders>
              <w:top w:val="single" w:sz="2" w:space="0" w:color="CCCCCC"/>
              <w:left w:val="single" w:sz="2" w:space="0" w:color="CCCCCC"/>
              <w:bottom w:val="single" w:sz="2" w:space="0" w:color="CCCCCC"/>
              <w:right w:val="single" w:sz="2" w:space="0" w:color="CCCCCC"/>
            </w:tcBorders>
          </w:tcPr>
          <w:p w14:paraId="32662D48" w14:textId="77777777" w:rsidR="007B7C96" w:rsidRDefault="00000000">
            <w:pPr>
              <w:spacing w:after="40" w:line="276" w:lineRule="auto"/>
            </w:pPr>
            <w:r>
              <w:rPr>
                <w:b/>
                <w:bCs/>
                <w:color w:val="333333"/>
                <w:sz w:val="20"/>
                <w:szCs w:val="20"/>
              </w:rPr>
              <w:t>Microsoft Azure</w:t>
            </w:r>
          </w:p>
        </w:tc>
        <w:tc>
          <w:tcPr>
            <w:tcW w:w="1199" w:type="dxa"/>
            <w:tcBorders>
              <w:top w:val="single" w:sz="2" w:space="0" w:color="CCCCCC"/>
              <w:left w:val="single" w:sz="2" w:space="0" w:color="CCCCCC"/>
              <w:bottom w:val="single" w:sz="2" w:space="0" w:color="CCCCCC"/>
              <w:right w:val="single" w:sz="2" w:space="0" w:color="CCCCCC"/>
            </w:tcBorders>
          </w:tcPr>
          <w:p w14:paraId="14E3FF05" w14:textId="77777777" w:rsidR="007B7C96" w:rsidRDefault="00000000">
            <w:pPr>
              <w:spacing w:after="40" w:line="276" w:lineRule="auto"/>
            </w:pPr>
            <w:r>
              <w:rPr>
                <w:color w:val="2E75B6"/>
                <w:sz w:val="20"/>
                <w:szCs w:val="20"/>
              </w:rPr>
              <w:t>US</w:t>
            </w:r>
          </w:p>
        </w:tc>
        <w:tc>
          <w:tcPr>
            <w:tcW w:w="1600" w:type="dxa"/>
            <w:tcBorders>
              <w:top w:val="single" w:sz="2" w:space="0" w:color="CCCCCC"/>
              <w:left w:val="single" w:sz="2" w:space="0" w:color="CCCCCC"/>
              <w:bottom w:val="single" w:sz="2" w:space="0" w:color="CCCCCC"/>
              <w:right w:val="single" w:sz="2" w:space="0" w:color="CCCCCC"/>
            </w:tcBorders>
          </w:tcPr>
          <w:p w14:paraId="09BB30D2" w14:textId="77777777" w:rsidR="007B7C96" w:rsidRDefault="00000000">
            <w:pPr>
              <w:spacing w:after="40" w:line="276" w:lineRule="auto"/>
            </w:pPr>
            <w:r>
              <w:rPr>
                <w:color w:val="333333"/>
                <w:sz w:val="20"/>
                <w:szCs w:val="20"/>
              </w:rPr>
              <w:t>2,7 Md$ (3 ans)</w:t>
            </w:r>
          </w:p>
        </w:tc>
        <w:tc>
          <w:tcPr>
            <w:tcW w:w="1226" w:type="dxa"/>
            <w:tcBorders>
              <w:top w:val="single" w:sz="2" w:space="0" w:color="CCCCCC"/>
              <w:left w:val="single" w:sz="2" w:space="0" w:color="CCCCCC"/>
              <w:bottom w:val="single" w:sz="2" w:space="0" w:color="CCCCCC"/>
              <w:right w:val="single" w:sz="2" w:space="0" w:color="CCCCCC"/>
            </w:tcBorders>
          </w:tcPr>
          <w:p w14:paraId="6D4C9F22" w14:textId="77777777" w:rsidR="007B7C96" w:rsidRDefault="00000000">
            <w:pPr>
              <w:spacing w:after="40" w:line="276" w:lineRule="auto"/>
            </w:pPr>
            <w:r>
              <w:rPr>
                <w:color w:val="333333"/>
                <w:sz w:val="20"/>
                <w:szCs w:val="20"/>
              </w:rPr>
              <w:t>N/D</w:t>
            </w:r>
          </w:p>
        </w:tc>
        <w:tc>
          <w:tcPr>
            <w:tcW w:w="2601" w:type="dxa"/>
            <w:tcBorders>
              <w:top w:val="single" w:sz="2" w:space="0" w:color="CCCCCC"/>
              <w:left w:val="single" w:sz="2" w:space="0" w:color="CCCCCC"/>
              <w:bottom w:val="single" w:sz="2" w:space="0" w:color="CCCCCC"/>
              <w:right w:val="single" w:sz="2" w:space="0" w:color="CCCCCC"/>
            </w:tcBorders>
          </w:tcPr>
          <w:p w14:paraId="2F81DA0E" w14:textId="77777777" w:rsidR="007B7C96" w:rsidRDefault="00000000">
            <w:pPr>
              <w:spacing w:after="40" w:line="276" w:lineRule="auto"/>
            </w:pPr>
            <w:r>
              <w:rPr>
                <w:color w:val="333333"/>
                <w:sz w:val="20"/>
                <w:szCs w:val="20"/>
              </w:rPr>
              <w:t>Cloud + IA + programme ConectaAI</w:t>
            </w:r>
          </w:p>
        </w:tc>
      </w:tr>
      <w:tr w:rsidR="007B7C96" w14:paraId="7A38CC22" w14:textId="77777777">
        <w:tc>
          <w:tcPr>
            <w:tcW w:w="2200" w:type="dxa"/>
            <w:tcBorders>
              <w:top w:val="single" w:sz="2" w:space="0" w:color="CCCCCC"/>
              <w:left w:val="single" w:sz="2" w:space="0" w:color="CCCCCC"/>
              <w:bottom w:val="single" w:sz="2" w:space="0" w:color="CCCCCC"/>
              <w:right w:val="single" w:sz="2" w:space="0" w:color="CCCCCC"/>
            </w:tcBorders>
          </w:tcPr>
          <w:p w14:paraId="79565F6C" w14:textId="77777777" w:rsidR="007B7C96" w:rsidRDefault="00000000">
            <w:pPr>
              <w:spacing w:after="40" w:line="276" w:lineRule="auto"/>
            </w:pPr>
            <w:r>
              <w:rPr>
                <w:b/>
                <w:bCs/>
                <w:color w:val="333333"/>
                <w:sz w:val="20"/>
                <w:szCs w:val="20"/>
              </w:rPr>
              <w:t>AWS São Paulo</w:t>
            </w:r>
          </w:p>
        </w:tc>
        <w:tc>
          <w:tcPr>
            <w:tcW w:w="1199" w:type="dxa"/>
            <w:tcBorders>
              <w:top w:val="single" w:sz="2" w:space="0" w:color="CCCCCC"/>
              <w:left w:val="single" w:sz="2" w:space="0" w:color="CCCCCC"/>
              <w:bottom w:val="single" w:sz="2" w:space="0" w:color="CCCCCC"/>
              <w:right w:val="single" w:sz="2" w:space="0" w:color="CCCCCC"/>
            </w:tcBorders>
          </w:tcPr>
          <w:p w14:paraId="01979B37" w14:textId="77777777" w:rsidR="007B7C96" w:rsidRDefault="00000000">
            <w:pPr>
              <w:spacing w:after="40" w:line="276" w:lineRule="auto"/>
            </w:pPr>
            <w:r>
              <w:rPr>
                <w:color w:val="2E75B6"/>
                <w:sz w:val="20"/>
                <w:szCs w:val="20"/>
              </w:rPr>
              <w:t>US</w:t>
            </w:r>
          </w:p>
        </w:tc>
        <w:tc>
          <w:tcPr>
            <w:tcW w:w="1600" w:type="dxa"/>
            <w:tcBorders>
              <w:top w:val="single" w:sz="2" w:space="0" w:color="CCCCCC"/>
              <w:left w:val="single" w:sz="2" w:space="0" w:color="CCCCCC"/>
              <w:bottom w:val="single" w:sz="2" w:space="0" w:color="CCCCCC"/>
              <w:right w:val="single" w:sz="2" w:space="0" w:color="CCCCCC"/>
            </w:tcBorders>
          </w:tcPr>
          <w:p w14:paraId="302A2C87" w14:textId="77777777" w:rsidR="007B7C96" w:rsidRDefault="00000000">
            <w:pPr>
              <w:spacing w:after="40" w:line="276" w:lineRule="auto"/>
            </w:pPr>
            <w:r>
              <w:rPr>
                <w:color w:val="333333"/>
                <w:sz w:val="20"/>
                <w:szCs w:val="20"/>
              </w:rPr>
              <w:t>N/D</w:t>
            </w:r>
          </w:p>
        </w:tc>
        <w:tc>
          <w:tcPr>
            <w:tcW w:w="1226" w:type="dxa"/>
            <w:tcBorders>
              <w:top w:val="single" w:sz="2" w:space="0" w:color="CCCCCC"/>
              <w:left w:val="single" w:sz="2" w:space="0" w:color="CCCCCC"/>
              <w:bottom w:val="single" w:sz="2" w:space="0" w:color="CCCCCC"/>
              <w:right w:val="single" w:sz="2" w:space="0" w:color="CCCCCC"/>
            </w:tcBorders>
          </w:tcPr>
          <w:p w14:paraId="5CFAFC93" w14:textId="77777777" w:rsidR="007B7C96" w:rsidRDefault="00000000">
            <w:pPr>
              <w:spacing w:after="40" w:line="276" w:lineRule="auto"/>
            </w:pPr>
            <w:r>
              <w:rPr>
                <w:color w:val="333333"/>
                <w:sz w:val="20"/>
                <w:szCs w:val="20"/>
              </w:rPr>
              <w:t>Multiple AZ</w:t>
            </w:r>
          </w:p>
        </w:tc>
        <w:tc>
          <w:tcPr>
            <w:tcW w:w="2601" w:type="dxa"/>
            <w:tcBorders>
              <w:top w:val="single" w:sz="2" w:space="0" w:color="CCCCCC"/>
              <w:left w:val="single" w:sz="2" w:space="0" w:color="CCCCCC"/>
              <w:bottom w:val="single" w:sz="2" w:space="0" w:color="CCCCCC"/>
              <w:right w:val="single" w:sz="2" w:space="0" w:color="CCCCCC"/>
            </w:tcBorders>
          </w:tcPr>
          <w:p w14:paraId="23B88E53" w14:textId="77777777" w:rsidR="007B7C96" w:rsidRDefault="00000000">
            <w:pPr>
              <w:spacing w:after="40" w:line="276" w:lineRule="auto"/>
            </w:pPr>
            <w:r>
              <w:rPr>
                <w:color w:val="333333"/>
                <w:sz w:val="20"/>
                <w:szCs w:val="20"/>
              </w:rPr>
              <w:t>Région cloud active depuis 2011</w:t>
            </w:r>
          </w:p>
        </w:tc>
      </w:tr>
    </w:tbl>
    <w:p w14:paraId="6FFC2737" w14:textId="77777777" w:rsidR="007B7C96" w:rsidRDefault="007B7C96">
      <w:pPr>
        <w:spacing w:after="80"/>
      </w:pPr>
    </w:p>
    <w:p w14:paraId="3779545B" w14:textId="77777777" w:rsidR="007B7C96" w:rsidRPr="006716EC" w:rsidRDefault="00000000">
      <w:pPr>
        <w:spacing w:after="160" w:line="312" w:lineRule="auto"/>
        <w:rPr>
          <w:lang w:val="fr-FR"/>
        </w:rPr>
      </w:pPr>
      <w:r>
        <w:rPr>
          <w:b/>
          <w:bCs/>
          <w:color w:val="333333"/>
          <w:sz w:val="20"/>
          <w:szCs w:val="20"/>
          <w:lang w:val="fr-FR"/>
        </w:rPr>
        <w:t>Tableau 14.</w:t>
      </w:r>
      <w:r>
        <w:rPr>
          <w:i/>
          <w:iCs/>
          <w:color w:val="333333"/>
          <w:sz w:val="20"/>
          <w:szCs w:val="20"/>
          <w:lang w:val="fr-FR"/>
        </w:rPr>
        <w:t xml:space="preserve"> Principaux projets de data centers IA au Brésil (2025–2030). Source : compilation auteur à partir de Bloomberg, IndustrialInfo, Introl.</w:t>
      </w:r>
    </w:p>
    <w:p w14:paraId="44A5E5C6" w14:textId="77777777" w:rsidR="007B7C96" w:rsidRPr="006716EC" w:rsidRDefault="00000000">
      <w:pPr>
        <w:pStyle w:val="Titre2"/>
        <w:rPr>
          <w:lang w:val="fr-FR"/>
        </w:rPr>
      </w:pPr>
      <w:r>
        <w:rPr>
          <w:lang w:val="fr-FR"/>
        </w:rPr>
        <w:t>6bis.3 Impact du protectionnisme US sur l’Amérique du Sud</w:t>
      </w:r>
    </w:p>
    <w:p w14:paraId="2B6CB80B" w14:textId="77777777" w:rsidR="007B7C96" w:rsidRPr="006716EC" w:rsidRDefault="00000000">
      <w:pPr>
        <w:pStyle w:val="Titre3"/>
        <w:rPr>
          <w:lang w:val="fr-FR"/>
        </w:rPr>
      </w:pPr>
      <w:r>
        <w:rPr>
          <w:lang w:val="fr-FR"/>
        </w:rPr>
        <w:t>6bis.3.1 Le double bind de la classification Tier 2</w:t>
      </w:r>
    </w:p>
    <w:p w14:paraId="04DD530B" w14:textId="77777777" w:rsidR="007B7C96" w:rsidRPr="006716EC" w:rsidRDefault="00000000">
      <w:pPr>
        <w:spacing w:after="160" w:line="312" w:lineRule="auto"/>
        <w:jc w:val="both"/>
        <w:rPr>
          <w:lang w:val="fr-FR"/>
        </w:rPr>
      </w:pPr>
      <w:r>
        <w:rPr>
          <w:color w:val="333333"/>
          <w:lang w:val="fr-FR"/>
        </w:rPr>
        <w:t xml:space="preserve">La position Tier 2 du Brésil et de l’Amérique du Sud crée un </w:t>
      </w:r>
      <w:r>
        <w:rPr>
          <w:i/>
          <w:iCs/>
          <w:color w:val="333333"/>
          <w:lang w:val="fr-FR"/>
        </w:rPr>
        <w:t>double bind</w:t>
      </w:r>
      <w:r>
        <w:rPr>
          <w:color w:val="333333"/>
          <w:lang w:val="fr-FR"/>
        </w:rPr>
        <w:t xml:space="preserve"> stratégique. D’un côté, les caps d’importation de GPU limitent la capacité des pays à construire une infrastructure IA souveraine et à réaliser les mégaprojets annoncés. De l’autre, les restrictions américaines vers la Chine (Tier 3) poussent ByteDance et d’autres acteurs chinois à investir massivement en Amérique latine comme zone alternative de déploiement d’infrastructure. Le Brésil devient ainsi un « terrain de substitution » dans la rivalité sino-américaine.</w:t>
      </w:r>
    </w:p>
    <w:p w14:paraId="39C786B1" w14:textId="77777777" w:rsidR="007B7C96" w:rsidRPr="006716EC" w:rsidRDefault="00000000">
      <w:pPr>
        <w:spacing w:after="160" w:line="312" w:lineRule="auto"/>
        <w:ind w:firstLine="360"/>
        <w:jc w:val="both"/>
        <w:rPr>
          <w:lang w:val="fr-FR"/>
        </w:rPr>
      </w:pPr>
      <w:r>
        <w:rPr>
          <w:color w:val="333333"/>
          <w:lang w:val="fr-FR"/>
        </w:rPr>
        <w:t>Brookings avertit que cette situation pourrait pousser les pays Tier 2 à développer des chaînes d’approvisionnement indépendantes des États-Unis, y compris des liens technologiques plus forts avec la Chine.</w:t>
      </w:r>
      <w:r>
        <w:rPr>
          <w:color w:val="2E75B6"/>
          <w:sz w:val="18"/>
          <w:szCs w:val="18"/>
          <w:vertAlign w:val="superscript"/>
          <w:lang w:val="fr-FR"/>
        </w:rPr>
        <w:t>13</w:t>
      </w:r>
      <w:r>
        <w:rPr>
          <w:color w:val="333333"/>
          <w:lang w:val="fr-FR"/>
        </w:rPr>
        <w:t xml:space="preserve"> Le Brésil, dont la Chine est le premier partenaire commercial, illustre parfaitement cette dynamique. L’investissement TikTok-Pecém, le plus gros investissement technologique chinois en Amérique latine, s’inscrit dans un approfondissement des liens Chine-Brésil qui préexistait à la réélection de Trump mais qui s’est accéléré face aux politiques commerciales américaines.</w:t>
      </w:r>
    </w:p>
    <w:p w14:paraId="368708E5" w14:textId="77777777" w:rsidR="007B7C96" w:rsidRPr="006716EC" w:rsidRDefault="00000000">
      <w:pPr>
        <w:pStyle w:val="Titre3"/>
        <w:rPr>
          <w:lang w:val="fr-FR"/>
        </w:rPr>
      </w:pPr>
      <w:r>
        <w:rPr>
          <w:lang w:val="fr-FR"/>
        </w:rPr>
        <w:t>6bis.3.2 Cinq canaux d’impact</w:t>
      </w:r>
    </w:p>
    <w:p w14:paraId="756D15CD" w14:textId="77777777" w:rsidR="007B7C96" w:rsidRPr="006716EC" w:rsidRDefault="00000000">
      <w:pPr>
        <w:spacing w:after="160" w:line="312" w:lineRule="auto"/>
        <w:jc w:val="both"/>
        <w:rPr>
          <w:lang w:val="fr-FR"/>
        </w:rPr>
      </w:pPr>
      <w:r>
        <w:rPr>
          <w:color w:val="333333"/>
          <w:lang w:val="fr-FR"/>
        </w:rPr>
        <w:t>L’impact du protectionnisme IA américain sur l’Amérique du Sud se transmet par cinq canaux distincts, dont certains sont propres à la région.</w:t>
      </w:r>
    </w:p>
    <w:p w14:paraId="74EA46CA" w14:textId="77777777" w:rsidR="007B7C96" w:rsidRPr="006716EC" w:rsidRDefault="00000000">
      <w:pPr>
        <w:spacing w:after="160" w:line="312" w:lineRule="auto"/>
        <w:ind w:firstLine="360"/>
        <w:jc w:val="both"/>
        <w:rPr>
          <w:lang w:val="fr-FR"/>
        </w:rPr>
      </w:pPr>
      <w:r>
        <w:rPr>
          <w:b/>
          <w:bCs/>
          <w:color w:val="333333"/>
          <w:lang w:val="fr-FR"/>
        </w:rPr>
        <w:t>Canal 1 — Contrainte directe sur le hardware IA.</w:t>
      </w:r>
      <w:r>
        <w:rPr>
          <w:color w:val="333333"/>
          <w:lang w:val="fr-FR"/>
        </w:rPr>
        <w:t xml:space="preserve"> Les caps Tier 2 sur les GPU de pointe limitent la capacité de construction. Même si l’AI Diffusion Rule est rescindée, l’incertitude réglementaire pèse : les projets nécessitant 10 000 à 100 000 GPU (comme Scala AI City ou Elea Rio AI City) dépendent entièrement de la volonté américaine de livrer des accélérateurs Nvidia ou AMD. Le GAIN AI Act, actuellement en discussion au Congrès américain, propose de donner la priorité d’accès aux semi-</w:t>
        <w:lastRenderedPageBreak/>
        <w:t>conducteurs avancés aux consommateurs américains avant de satisfaire les commandes internationales — ce qui dégraderait encore l’approvisionnement de la région.</w:t>
      </w:r>
      <w:r>
        <w:rPr>
          <w:color w:val="2E75B6"/>
          <w:sz w:val="18"/>
          <w:szCs w:val="18"/>
          <w:vertAlign w:val="superscript"/>
          <w:lang w:val="fr-FR"/>
        </w:rPr>
        <w:t>14</w:t>
      </w:r>
    </w:p>
    <w:p w14:paraId="5AAAB42F" w14:textId="77777777" w:rsidR="007B7C96" w:rsidRPr="006716EC" w:rsidRDefault="00000000">
      <w:pPr>
        <w:spacing w:after="160" w:line="312" w:lineRule="auto"/>
        <w:ind w:firstLine="360"/>
        <w:jc w:val="both"/>
        <w:rPr>
          <w:lang w:val="fr-FR"/>
        </w:rPr>
      </w:pPr>
      <w:r>
        <w:rPr>
          <w:b/>
          <w:bCs/>
          <w:color w:val="333333"/>
          <w:lang w:val="fr-FR"/>
        </w:rPr>
        <w:t>Canal 2 — Dépendance au cloud US renforcée.</w:t>
      </w:r>
      <w:r>
        <w:rPr>
          <w:color w:val="333333"/>
          <w:lang w:val="fr-FR"/>
        </w:rPr>
        <w:t xml:space="preserve"> En l’absence d’infrastructure locale suffisante, les entreprises brésiliennes recourent massivement au cloud US. Le secteur financier brésilien (Itaú, Nubank, Bradesco) est le plus numérisé d’Amérique latine, avec 95 % des transactions traitées numériquement chez Itaú Unibanco. L’Open Banking brésilien connecte 800 institutions. Cette numérisation repose en grande partie sur les hyperscalers US, créant le même schéma de dépendance que pour l’Europe (Chapitre IV), mais avec moins de capacité de négociation.</w:t>
      </w:r>
    </w:p>
    <w:p w14:paraId="61CF5234" w14:textId="77777777" w:rsidR="007B7C96" w:rsidRPr="006716EC" w:rsidRDefault="00000000">
      <w:pPr>
        <w:spacing w:after="160" w:line="312" w:lineRule="auto"/>
        <w:ind w:firstLine="360"/>
        <w:jc w:val="both"/>
        <w:rPr>
          <w:lang w:val="fr-FR"/>
        </w:rPr>
      </w:pPr>
      <w:r>
        <w:rPr>
          <w:b/>
          <w:bCs/>
          <w:color w:val="333333"/>
          <w:lang w:val="fr-FR"/>
        </w:rPr>
        <w:t>Canal 3 — Bifurcation technologique US-Chine.</w:t>
      </w:r>
      <w:r>
        <w:rPr>
          <w:color w:val="333333"/>
          <w:lang w:val="fr-FR"/>
        </w:rPr>
        <w:t xml:space="preserve"> Le Brésil est confronté à un risque spécifique : la fragmentation de son infrastructure IA entre écosystèmes américain et chinois. Les data centers de Pecém (ByteDance), bien qu’alimentés par de l’énergie renouvelable brésilienne, utiliseront vraisemblablement du hardware Huawei ou des alternatives non-US si les restrictions américaines empêchent l’export de GPU Nvidia vers des projets chinois. Cette dualité hardware crée des problèmes d’interopérabilité, de souveraineté des données (CLOUD Act américain versus loi chinoise sur la sécurité des données), et de standardisation. Le Brésil risque de devenir un espace où deux écosystèmes technologiques incompatibles coexistent, fragmentés et chacun dépendant d’une puissance extérieure.</w:t>
      </w:r>
    </w:p>
    <w:p w14:paraId="69917AA4" w14:textId="77777777" w:rsidR="007B7C96" w:rsidRPr="006716EC" w:rsidRDefault="00000000">
      <w:pPr>
        <w:spacing w:after="160" w:line="312" w:lineRule="auto"/>
        <w:ind w:firstLine="360"/>
        <w:jc w:val="both"/>
        <w:rPr>
          <w:lang w:val="fr-FR"/>
        </w:rPr>
      </w:pPr>
      <w:r>
        <w:rPr>
          <w:b/>
          <w:bCs/>
          <w:color w:val="333333"/>
          <w:lang w:val="fr-FR"/>
        </w:rPr>
        <w:t>Canal 4 — Brain drain amplifié.</w:t>
      </w:r>
      <w:r>
        <w:rPr>
          <w:color w:val="333333"/>
          <w:lang w:val="fr-FR"/>
        </w:rPr>
        <w:t xml:space="preserve"> L’ILIA 2025 signale un élargissement du fossé de talent IA en Amérique latine depuis 2022, associé à une « accélération du brain drain de spécialistes ».</w:t>
      </w:r>
      <w:r>
        <w:rPr>
          <w:color w:val="2E75B6"/>
          <w:sz w:val="18"/>
          <w:szCs w:val="18"/>
          <w:vertAlign w:val="superscript"/>
          <w:lang w:val="fr-FR"/>
        </w:rPr>
        <w:t>15</w:t>
      </w:r>
      <w:r>
        <w:rPr>
          <w:color w:val="333333"/>
          <w:lang w:val="fr-FR"/>
        </w:rPr>
        <w:t xml:space="preserve"> Le Brésil forme d’excellents ingénieurs (USP, Unicamp, ITA), mais le différentiel de rémunération avec les États-Unis est encore plus marqué que pour l’Europe. L’asymétrie de compute aggrave ce drain : les chercheurs IA qui restent au Brésil n’ont pas accès au compute nécessaire pour la recherche frontier, ce qui renforce l’attractivité des laboratoires américains.</w:t>
      </w:r>
    </w:p>
    <w:p w14:paraId="0D1AD90C" w14:textId="77777777" w:rsidR="007B7C96" w:rsidRPr="006716EC" w:rsidRDefault="00000000">
      <w:pPr>
        <w:spacing w:after="160" w:line="312" w:lineRule="auto"/>
        <w:ind w:firstLine="360"/>
        <w:jc w:val="both"/>
        <w:rPr>
          <w:lang w:val="fr-FR"/>
        </w:rPr>
      </w:pPr>
      <w:r>
        <w:rPr>
          <w:b/>
          <w:bCs/>
          <w:color w:val="333333"/>
          <w:lang w:val="fr-FR"/>
        </w:rPr>
        <w:t>Canal 5 — Fossé de productivité élargi.</w:t>
      </w:r>
      <w:r>
        <w:rPr>
          <w:color w:val="333333"/>
          <w:lang w:val="fr-FR"/>
        </w:rPr>
        <w:t xml:space="preserve"> La Banque mondiale et l’OIT observent que l’Amérique latine souffre d’un déficit de productivité persistant, en grande partie lié aux barrières à l’innovation et à l’adoption technologique.</w:t>
      </w:r>
      <w:r>
        <w:rPr>
          <w:color w:val="2E75B6"/>
          <w:sz w:val="18"/>
          <w:szCs w:val="18"/>
          <w:vertAlign w:val="superscript"/>
          <w:lang w:val="fr-FR"/>
        </w:rPr>
        <w:t>16</w:t>
      </w:r>
      <w:r>
        <w:rPr>
          <w:color w:val="333333"/>
          <w:lang w:val="fr-FR"/>
        </w:rPr>
        <w:t xml:space="preserve"> Si les pays à revenu élevé captent les gains de productivité IA (FMI : gains TFP significativement plus élevés dans les économies avancées), le protectionnisme IA risque de transformer ce qui était un retard d’adoption (</w:t>
      </w:r>
      <w:r>
        <w:rPr>
          <w:i/>
          <w:iCs/>
          <w:color w:val="333333"/>
          <w:lang w:val="fr-FR"/>
        </w:rPr>
        <w:t>buffer</w:t>
      </w:r>
      <w:r>
        <w:rPr>
          <w:color w:val="333333"/>
          <w:lang w:val="fr-FR"/>
        </w:rPr>
        <w:t xml:space="preserve"> temporaire) en barrière structurelle (</w:t>
      </w:r>
      <w:r>
        <w:rPr>
          <w:i/>
          <w:iCs/>
          <w:color w:val="333333"/>
          <w:lang w:val="fr-FR"/>
        </w:rPr>
        <w:t>bottleneck</w:t>
      </w:r>
      <w:r>
        <w:rPr>
          <w:color w:val="333333"/>
          <w:lang w:val="fr-FR"/>
        </w:rPr>
        <w:t>). L’accès contraint au compute de pointe empêche les entreprises latino-américaines de réaliser les gains de productivité théoriques de l’IA, creusant l’écart avec les États-Unis.</w:t>
      </w:r>
    </w:p>
    <w:p w14:paraId="5A055150" w14:textId="77777777" w:rsidR="007B7C96" w:rsidRPr="006716EC" w:rsidRDefault="00000000">
      <w:pPr>
        <w:rPr>
          <w:lang w:val="fr-FR"/>
        </w:rPr>
      </w:pPr>
      <w:r>
        <w:rPr>
          <w:lang w:val="fr-FR"/>
        </w:rPr>
        <w:br w:type="page"/>
      </w:r>
    </w:p>
    <w:p w14:paraId="190D4D7F" w14:textId="77777777" w:rsidR="007B7C96" w:rsidRPr="006716EC" w:rsidRDefault="00000000">
      <w:pPr>
        <w:pStyle w:val="Titre2"/>
        <w:spacing w:before="0"/>
        <w:rPr>
          <w:lang w:val="fr-FR"/>
        </w:rPr>
      </w:pPr>
      <w:r>
        <w:rPr>
          <w:lang w:val="fr-FR"/>
        </w:rPr>
        <w:lastRenderedPageBreak/>
        <w:t>6bis.4 Scénarios spécifiques pour le Brésil</w:t>
      </w:r>
    </w:p>
    <w:p w14:paraId="2E62B60A" w14:textId="77777777" w:rsidR="007B7C96" w:rsidRPr="006716EC" w:rsidRDefault="00000000">
      <w:pPr>
        <w:spacing w:after="160" w:line="312" w:lineRule="auto"/>
        <w:jc w:val="both"/>
        <w:rPr>
          <w:lang w:val="fr-FR"/>
        </w:rPr>
      </w:pPr>
      <w:r>
        <w:rPr>
          <w:color w:val="333333"/>
          <w:lang w:val="fr-FR"/>
        </w:rPr>
        <w:t>En reprenant la matrice 2×2 du Chapitre V, les scénarios pour le Brésil se déclinent différemment de l’Europe, car le Brésil dispose d’une variable supplémentaire : la possibilité de jouer la carte chinoise comme alternative à l’écosystème US.</w:t>
      </w:r>
    </w:p>
    <w:p w14:paraId="1BEE5A41" w14:textId="77777777" w:rsidR="007B7C96" w:rsidRPr="006716EC" w:rsidRDefault="007B7C96">
      <w:pPr>
        <w:spacing w:after="80"/>
        <w:rPr>
          <w:lang w:val="fr-FR"/>
        </w:rPr>
      </w:pPr>
    </w:p>
    <w:tbl>
      <w:tblPr>
        <w:tblW w:w="8826" w:type="dxa"/>
        <w:tblLayout w:type="fixed"/>
        <w:tblCellMar>
          <w:top w:w="80" w:type="dxa"/>
          <w:left w:w="120" w:type="dxa"/>
          <w:bottom w:w="80" w:type="dxa"/>
          <w:right w:w="120" w:type="dxa"/>
        </w:tblCellMar>
        <w:tblLook w:val="04A0" w:firstRow="1" w:lastRow="0" w:firstColumn="1" w:lastColumn="0" w:noHBand="0" w:noVBand="1"/>
      </w:tblPr>
      <w:tblGrid>
        <w:gridCol w:w="2200"/>
        <w:gridCol w:w="1400"/>
        <w:gridCol w:w="2612"/>
        <w:gridCol w:w="2614"/>
      </w:tblGrid>
      <w:tr w:rsidR="007B7C96" w14:paraId="7A517E82" w14:textId="77777777">
        <w:tc>
          <w:tcPr>
            <w:tcW w:w="2200" w:type="dxa"/>
            <w:tcBorders>
              <w:top w:val="single" w:sz="2" w:space="0" w:color="CCCCCC"/>
              <w:left w:val="single" w:sz="2" w:space="0" w:color="CCCCCC"/>
              <w:bottom w:val="single" w:sz="2" w:space="0" w:color="CCCCCC"/>
              <w:right w:val="single" w:sz="2" w:space="0" w:color="CCCCCC"/>
            </w:tcBorders>
            <w:shd w:val="clear" w:color="auto" w:fill="1B3A5C"/>
          </w:tcPr>
          <w:p w14:paraId="22092111" w14:textId="77777777" w:rsidR="007B7C96" w:rsidRDefault="00000000">
            <w:r>
              <w:rPr>
                <w:b/>
                <w:bCs/>
                <w:color w:val="FFFFFF"/>
                <w:sz w:val="20"/>
                <w:szCs w:val="20"/>
              </w:rPr>
              <w:t>Scénario Brésil</w:t>
            </w:r>
          </w:p>
        </w:tc>
        <w:tc>
          <w:tcPr>
            <w:tcW w:w="1400" w:type="dxa"/>
            <w:tcBorders>
              <w:top w:val="single" w:sz="2" w:space="0" w:color="CCCCCC"/>
              <w:left w:val="single" w:sz="2" w:space="0" w:color="CCCCCC"/>
              <w:bottom w:val="single" w:sz="2" w:space="0" w:color="CCCCCC"/>
              <w:right w:val="single" w:sz="2" w:space="0" w:color="CCCCCC"/>
            </w:tcBorders>
            <w:shd w:val="clear" w:color="auto" w:fill="1B3A5C"/>
          </w:tcPr>
          <w:p w14:paraId="53465E85" w14:textId="77777777" w:rsidR="007B7C96" w:rsidRDefault="00000000">
            <w:r>
              <w:rPr>
                <w:b/>
                <w:bCs/>
                <w:color w:val="FFFFFF"/>
                <w:sz w:val="20"/>
                <w:szCs w:val="20"/>
              </w:rPr>
              <w:t>Probabilité</w:t>
            </w:r>
          </w:p>
        </w:tc>
        <w:tc>
          <w:tcPr>
            <w:tcW w:w="2612" w:type="dxa"/>
            <w:tcBorders>
              <w:top w:val="single" w:sz="2" w:space="0" w:color="CCCCCC"/>
              <w:left w:val="single" w:sz="2" w:space="0" w:color="CCCCCC"/>
              <w:bottom w:val="single" w:sz="2" w:space="0" w:color="CCCCCC"/>
              <w:right w:val="single" w:sz="2" w:space="0" w:color="CCCCCC"/>
            </w:tcBorders>
            <w:shd w:val="clear" w:color="auto" w:fill="1B3A5C"/>
          </w:tcPr>
          <w:p w14:paraId="4DA4E9E2" w14:textId="77777777" w:rsidR="007B7C96" w:rsidRDefault="00000000">
            <w:r>
              <w:rPr>
                <w:b/>
                <w:bCs/>
                <w:color w:val="FFFFFF"/>
                <w:sz w:val="20"/>
                <w:szCs w:val="20"/>
              </w:rPr>
              <w:t>Conséquences positives</w:t>
            </w:r>
          </w:p>
        </w:tc>
        <w:tc>
          <w:tcPr>
            <w:tcW w:w="2614" w:type="dxa"/>
            <w:tcBorders>
              <w:top w:val="single" w:sz="2" w:space="0" w:color="CCCCCC"/>
              <w:left w:val="single" w:sz="2" w:space="0" w:color="CCCCCC"/>
              <w:bottom w:val="single" w:sz="2" w:space="0" w:color="CCCCCC"/>
              <w:right w:val="single" w:sz="2" w:space="0" w:color="CCCCCC"/>
            </w:tcBorders>
            <w:shd w:val="clear" w:color="auto" w:fill="1B3A5C"/>
          </w:tcPr>
          <w:p w14:paraId="4AAD6D93" w14:textId="77777777" w:rsidR="007B7C96" w:rsidRDefault="00000000">
            <w:r>
              <w:rPr>
                <w:b/>
                <w:bCs/>
                <w:color w:val="FFFFFF"/>
                <w:sz w:val="20"/>
                <w:szCs w:val="20"/>
              </w:rPr>
              <w:t>Risques</w:t>
            </w:r>
          </w:p>
        </w:tc>
      </w:tr>
      <w:tr w:rsidR="007B7C96" w:rsidRPr="006716EC" w14:paraId="66CA9E03" w14:textId="77777777">
        <w:tc>
          <w:tcPr>
            <w:tcW w:w="2200" w:type="dxa"/>
            <w:tcBorders>
              <w:top w:val="single" w:sz="2" w:space="0" w:color="CCCCCC"/>
              <w:left w:val="single" w:sz="2" w:space="0" w:color="CCCCCC"/>
              <w:bottom w:val="single" w:sz="2" w:space="0" w:color="CCCCCC"/>
              <w:right w:val="single" w:sz="2" w:space="0" w:color="CCCCCC"/>
            </w:tcBorders>
          </w:tcPr>
          <w:p w14:paraId="236F46D3" w14:textId="77777777" w:rsidR="007B7C96" w:rsidRDefault="00000000">
            <w:pPr>
              <w:spacing w:after="40" w:line="276" w:lineRule="auto"/>
            </w:pPr>
            <w:r>
              <w:rPr>
                <w:b/>
                <w:bCs/>
                <w:color w:val="333333"/>
                <w:sz w:val="20"/>
                <w:szCs w:val="20"/>
              </w:rPr>
              <w:t>A’ : Hub neutre dual US-Chine</w:t>
            </w:r>
          </w:p>
        </w:tc>
        <w:tc>
          <w:tcPr>
            <w:tcW w:w="1400" w:type="dxa"/>
            <w:tcBorders>
              <w:top w:val="single" w:sz="2" w:space="0" w:color="CCCCCC"/>
              <w:left w:val="single" w:sz="2" w:space="0" w:color="CCCCCC"/>
              <w:bottom w:val="single" w:sz="2" w:space="0" w:color="CCCCCC"/>
              <w:right w:val="single" w:sz="2" w:space="0" w:color="CCCCCC"/>
            </w:tcBorders>
          </w:tcPr>
          <w:p w14:paraId="7EFCE165" w14:textId="77777777" w:rsidR="007B7C96" w:rsidRDefault="00000000">
            <w:pPr>
              <w:spacing w:after="40" w:line="276" w:lineRule="auto"/>
            </w:pPr>
            <w:r>
              <w:rPr>
                <w:b/>
                <w:bCs/>
                <w:color w:val="333333"/>
                <w:sz w:val="20"/>
                <w:szCs w:val="20"/>
              </w:rPr>
              <w:t>35–45 %</w:t>
            </w:r>
          </w:p>
        </w:tc>
        <w:tc>
          <w:tcPr>
            <w:tcW w:w="2612" w:type="dxa"/>
            <w:tcBorders>
              <w:top w:val="single" w:sz="2" w:space="0" w:color="CCCCCC"/>
              <w:left w:val="single" w:sz="2" w:space="0" w:color="CCCCCC"/>
              <w:bottom w:val="single" w:sz="2" w:space="0" w:color="CCCCCC"/>
              <w:right w:val="single" w:sz="2" w:space="0" w:color="CCCCCC"/>
            </w:tcBorders>
          </w:tcPr>
          <w:p w14:paraId="465FCA3D" w14:textId="77777777" w:rsidR="007B7C96" w:rsidRPr="006716EC" w:rsidRDefault="00000000">
            <w:pPr>
              <w:spacing w:after="40" w:line="276" w:lineRule="auto"/>
              <w:rPr>
                <w:lang w:val="fr-FR"/>
              </w:rPr>
            </w:pPr>
            <w:r>
              <w:rPr>
                <w:color w:val="333333"/>
                <w:sz w:val="20"/>
                <w:szCs w:val="20"/>
                <w:lang w:val="fr-FR"/>
              </w:rPr>
              <w:t>Afflux invest. des deux blocs ; énergie renouvelable comme atout ; diversification fournisseurs</w:t>
            </w:r>
          </w:p>
        </w:tc>
        <w:tc>
          <w:tcPr>
            <w:tcW w:w="2614" w:type="dxa"/>
            <w:tcBorders>
              <w:top w:val="single" w:sz="2" w:space="0" w:color="CCCCCC"/>
              <w:left w:val="single" w:sz="2" w:space="0" w:color="CCCCCC"/>
              <w:bottom w:val="single" w:sz="2" w:space="0" w:color="CCCCCC"/>
              <w:right w:val="single" w:sz="2" w:space="0" w:color="CCCCCC"/>
            </w:tcBorders>
          </w:tcPr>
          <w:p w14:paraId="63DE6B63" w14:textId="77777777" w:rsidR="007B7C96" w:rsidRPr="006716EC" w:rsidRDefault="00000000">
            <w:pPr>
              <w:spacing w:after="40" w:line="276" w:lineRule="auto"/>
              <w:rPr>
                <w:lang w:val="fr-FR"/>
              </w:rPr>
            </w:pPr>
            <w:r>
              <w:rPr>
                <w:color w:val="333333"/>
                <w:sz w:val="20"/>
                <w:szCs w:val="20"/>
                <w:lang w:val="fr-FR"/>
              </w:rPr>
              <w:t>Fragmentation écosystème ; pressions US pour limiter accès chinois ; vulnérabilité données</w:t>
            </w:r>
          </w:p>
        </w:tc>
      </w:tr>
      <w:tr w:rsidR="007B7C96" w:rsidRPr="006716EC" w14:paraId="0EDC7FBA" w14:textId="77777777">
        <w:tc>
          <w:tcPr>
            <w:tcW w:w="2200" w:type="dxa"/>
            <w:tcBorders>
              <w:top w:val="single" w:sz="2" w:space="0" w:color="CCCCCC"/>
              <w:left w:val="single" w:sz="2" w:space="0" w:color="CCCCCC"/>
              <w:bottom w:val="single" w:sz="2" w:space="0" w:color="CCCCCC"/>
              <w:right w:val="single" w:sz="2" w:space="0" w:color="CCCCCC"/>
            </w:tcBorders>
          </w:tcPr>
          <w:p w14:paraId="061CCC42" w14:textId="77777777" w:rsidR="007B7C96" w:rsidRDefault="00000000">
            <w:pPr>
              <w:spacing w:after="40" w:line="276" w:lineRule="auto"/>
            </w:pPr>
            <w:r>
              <w:rPr>
                <w:b/>
                <w:bCs/>
                <w:color w:val="333333"/>
                <w:sz w:val="20"/>
                <w:szCs w:val="20"/>
              </w:rPr>
              <w:t>B’ : Sanctions secondaires</w:t>
            </w:r>
          </w:p>
        </w:tc>
        <w:tc>
          <w:tcPr>
            <w:tcW w:w="1400" w:type="dxa"/>
            <w:tcBorders>
              <w:top w:val="single" w:sz="2" w:space="0" w:color="CCCCCC"/>
              <w:left w:val="single" w:sz="2" w:space="0" w:color="CCCCCC"/>
              <w:bottom w:val="single" w:sz="2" w:space="0" w:color="CCCCCC"/>
              <w:right w:val="single" w:sz="2" w:space="0" w:color="CCCCCC"/>
            </w:tcBorders>
          </w:tcPr>
          <w:p w14:paraId="19D4BA6C" w14:textId="77777777" w:rsidR="007B7C96" w:rsidRDefault="00000000">
            <w:pPr>
              <w:spacing w:after="40" w:line="276" w:lineRule="auto"/>
            </w:pPr>
            <w:r>
              <w:rPr>
                <w:color w:val="333333"/>
                <w:sz w:val="20"/>
                <w:szCs w:val="20"/>
              </w:rPr>
              <w:t>15–20 %</w:t>
            </w:r>
          </w:p>
        </w:tc>
        <w:tc>
          <w:tcPr>
            <w:tcW w:w="2612" w:type="dxa"/>
            <w:tcBorders>
              <w:top w:val="single" w:sz="2" w:space="0" w:color="CCCCCC"/>
              <w:left w:val="single" w:sz="2" w:space="0" w:color="CCCCCC"/>
              <w:bottom w:val="single" w:sz="2" w:space="0" w:color="CCCCCC"/>
              <w:right w:val="single" w:sz="2" w:space="0" w:color="CCCCCC"/>
            </w:tcBorders>
          </w:tcPr>
          <w:p w14:paraId="11008ECA" w14:textId="77777777" w:rsidR="007B7C96" w:rsidRDefault="00000000">
            <w:pPr>
              <w:spacing w:after="40" w:line="276" w:lineRule="auto"/>
            </w:pPr>
            <w:r>
              <w:rPr>
                <w:color w:val="333333"/>
                <w:sz w:val="20"/>
                <w:szCs w:val="20"/>
              </w:rPr>
              <w:t>Accélération investissement chinois substitutif</w:t>
            </w:r>
          </w:p>
        </w:tc>
        <w:tc>
          <w:tcPr>
            <w:tcW w:w="2614" w:type="dxa"/>
            <w:tcBorders>
              <w:top w:val="single" w:sz="2" w:space="0" w:color="CCCCCC"/>
              <w:left w:val="single" w:sz="2" w:space="0" w:color="CCCCCC"/>
              <w:bottom w:val="single" w:sz="2" w:space="0" w:color="CCCCCC"/>
              <w:right w:val="single" w:sz="2" w:space="0" w:color="CCCCCC"/>
            </w:tcBorders>
          </w:tcPr>
          <w:p w14:paraId="5D728EC8" w14:textId="77777777" w:rsidR="007B7C96" w:rsidRPr="006716EC" w:rsidRDefault="00000000">
            <w:pPr>
              <w:spacing w:after="40" w:line="276" w:lineRule="auto"/>
              <w:rPr>
                <w:lang w:val="fr-FR"/>
              </w:rPr>
            </w:pPr>
            <w:r>
              <w:rPr>
                <w:color w:val="C0392B"/>
                <w:sz w:val="20"/>
                <w:szCs w:val="20"/>
                <w:lang w:val="fr-FR"/>
              </w:rPr>
              <w:t>Perte accès écosystème US (Nvidia, cloud) ; isolement tech. partiel</w:t>
            </w:r>
          </w:p>
        </w:tc>
      </w:tr>
      <w:tr w:rsidR="007B7C96" w:rsidRPr="006716EC" w14:paraId="6D4CFB93" w14:textId="77777777">
        <w:tc>
          <w:tcPr>
            <w:tcW w:w="2200" w:type="dxa"/>
            <w:tcBorders>
              <w:top w:val="single" w:sz="2" w:space="0" w:color="CCCCCC"/>
              <w:left w:val="single" w:sz="2" w:space="0" w:color="CCCCCC"/>
              <w:bottom w:val="single" w:sz="2" w:space="0" w:color="CCCCCC"/>
              <w:right w:val="single" w:sz="2" w:space="0" w:color="CCCCCC"/>
            </w:tcBorders>
          </w:tcPr>
          <w:p w14:paraId="3C1CB9B8" w14:textId="77777777" w:rsidR="007B7C96" w:rsidRDefault="00000000">
            <w:pPr>
              <w:spacing w:after="40" w:line="276" w:lineRule="auto"/>
            </w:pPr>
            <w:r>
              <w:rPr>
                <w:b/>
                <w:bCs/>
                <w:color w:val="333333"/>
                <w:sz w:val="20"/>
                <w:szCs w:val="20"/>
              </w:rPr>
              <w:t>C’ : Alignement pro-US</w:t>
            </w:r>
          </w:p>
        </w:tc>
        <w:tc>
          <w:tcPr>
            <w:tcW w:w="1400" w:type="dxa"/>
            <w:tcBorders>
              <w:top w:val="single" w:sz="2" w:space="0" w:color="CCCCCC"/>
              <w:left w:val="single" w:sz="2" w:space="0" w:color="CCCCCC"/>
              <w:bottom w:val="single" w:sz="2" w:space="0" w:color="CCCCCC"/>
              <w:right w:val="single" w:sz="2" w:space="0" w:color="CCCCCC"/>
            </w:tcBorders>
          </w:tcPr>
          <w:p w14:paraId="350D95B2" w14:textId="77777777" w:rsidR="007B7C96" w:rsidRDefault="00000000">
            <w:pPr>
              <w:spacing w:after="40" w:line="276" w:lineRule="auto"/>
            </w:pPr>
            <w:r>
              <w:rPr>
                <w:color w:val="333333"/>
                <w:sz w:val="20"/>
                <w:szCs w:val="20"/>
              </w:rPr>
              <w:t>20–25 %</w:t>
            </w:r>
          </w:p>
        </w:tc>
        <w:tc>
          <w:tcPr>
            <w:tcW w:w="2612" w:type="dxa"/>
            <w:tcBorders>
              <w:top w:val="single" w:sz="2" w:space="0" w:color="CCCCCC"/>
              <w:left w:val="single" w:sz="2" w:space="0" w:color="CCCCCC"/>
              <w:bottom w:val="single" w:sz="2" w:space="0" w:color="CCCCCC"/>
              <w:right w:val="single" w:sz="2" w:space="0" w:color="CCCCCC"/>
            </w:tcBorders>
          </w:tcPr>
          <w:p w14:paraId="65349CF0" w14:textId="77777777" w:rsidR="007B7C96" w:rsidRPr="006716EC" w:rsidRDefault="00000000">
            <w:pPr>
              <w:spacing w:after="40" w:line="276" w:lineRule="auto"/>
              <w:rPr>
                <w:lang w:val="fr-FR"/>
              </w:rPr>
            </w:pPr>
            <w:r>
              <w:rPr>
                <w:color w:val="333333"/>
                <w:sz w:val="20"/>
                <w:szCs w:val="20"/>
                <w:lang w:val="fr-FR"/>
              </w:rPr>
              <w:t>Accès Tier 1 négocié ; GPU illimitées ; Microsoft/AWS investment accru</w:t>
            </w:r>
          </w:p>
        </w:tc>
        <w:tc>
          <w:tcPr>
            <w:tcW w:w="2614" w:type="dxa"/>
            <w:tcBorders>
              <w:top w:val="single" w:sz="2" w:space="0" w:color="CCCCCC"/>
              <w:left w:val="single" w:sz="2" w:space="0" w:color="CCCCCC"/>
              <w:bottom w:val="single" w:sz="2" w:space="0" w:color="CCCCCC"/>
              <w:right w:val="single" w:sz="2" w:space="0" w:color="CCCCCC"/>
            </w:tcBorders>
          </w:tcPr>
          <w:p w14:paraId="2E7583C5" w14:textId="77777777" w:rsidR="007B7C96" w:rsidRPr="006716EC" w:rsidRDefault="00000000">
            <w:pPr>
              <w:spacing w:after="40" w:line="276" w:lineRule="auto"/>
              <w:rPr>
                <w:lang w:val="fr-FR"/>
              </w:rPr>
            </w:pPr>
            <w:r>
              <w:rPr>
                <w:color w:val="333333"/>
                <w:sz w:val="20"/>
                <w:szCs w:val="20"/>
                <w:lang w:val="fr-FR"/>
              </w:rPr>
              <w:t>Dépendance US totale ; perte investissement chinois (Pecém menacé)</w:t>
            </w:r>
          </w:p>
        </w:tc>
      </w:tr>
      <w:tr w:rsidR="007B7C96" w:rsidRPr="006716EC" w14:paraId="7C1CCC1B" w14:textId="77777777">
        <w:tc>
          <w:tcPr>
            <w:tcW w:w="2200" w:type="dxa"/>
            <w:tcBorders>
              <w:top w:val="single" w:sz="2" w:space="0" w:color="CCCCCC"/>
              <w:left w:val="single" w:sz="2" w:space="0" w:color="CCCCCC"/>
              <w:bottom w:val="single" w:sz="2" w:space="0" w:color="CCCCCC"/>
              <w:right w:val="single" w:sz="2" w:space="0" w:color="CCCCCC"/>
            </w:tcBorders>
          </w:tcPr>
          <w:p w14:paraId="3D5C1C88" w14:textId="77777777" w:rsidR="007B7C96" w:rsidRDefault="00000000">
            <w:pPr>
              <w:spacing w:after="40" w:line="276" w:lineRule="auto"/>
            </w:pPr>
            <w:r>
              <w:rPr>
                <w:b/>
                <w:bCs/>
                <w:color w:val="333333"/>
                <w:sz w:val="20"/>
                <w:szCs w:val="20"/>
              </w:rPr>
              <w:t>D’ : Souveraineté régionale LATAM</w:t>
            </w:r>
          </w:p>
        </w:tc>
        <w:tc>
          <w:tcPr>
            <w:tcW w:w="1400" w:type="dxa"/>
            <w:tcBorders>
              <w:top w:val="single" w:sz="2" w:space="0" w:color="CCCCCC"/>
              <w:left w:val="single" w:sz="2" w:space="0" w:color="CCCCCC"/>
              <w:bottom w:val="single" w:sz="2" w:space="0" w:color="CCCCCC"/>
              <w:right w:val="single" w:sz="2" w:space="0" w:color="CCCCCC"/>
            </w:tcBorders>
          </w:tcPr>
          <w:p w14:paraId="11BF5710" w14:textId="77777777" w:rsidR="007B7C96" w:rsidRDefault="00000000">
            <w:pPr>
              <w:spacing w:after="40" w:line="276" w:lineRule="auto"/>
            </w:pPr>
            <w:r>
              <w:rPr>
                <w:color w:val="333333"/>
                <w:sz w:val="20"/>
                <w:szCs w:val="20"/>
              </w:rPr>
              <w:t>10–15 %</w:t>
            </w:r>
          </w:p>
        </w:tc>
        <w:tc>
          <w:tcPr>
            <w:tcW w:w="2612" w:type="dxa"/>
            <w:tcBorders>
              <w:top w:val="single" w:sz="2" w:space="0" w:color="CCCCCC"/>
              <w:left w:val="single" w:sz="2" w:space="0" w:color="CCCCCC"/>
              <w:bottom w:val="single" w:sz="2" w:space="0" w:color="CCCCCC"/>
              <w:right w:val="single" w:sz="2" w:space="0" w:color="CCCCCC"/>
            </w:tcBorders>
          </w:tcPr>
          <w:p w14:paraId="747BC97D" w14:textId="77777777" w:rsidR="007B7C96" w:rsidRPr="006716EC" w:rsidRDefault="00000000">
            <w:pPr>
              <w:spacing w:after="40" w:line="276" w:lineRule="auto"/>
              <w:rPr>
                <w:lang w:val="fr-FR"/>
              </w:rPr>
            </w:pPr>
            <w:r>
              <w:rPr>
                <w:color w:val="333333"/>
                <w:sz w:val="20"/>
                <w:szCs w:val="20"/>
                <w:lang w:val="fr-FR"/>
              </w:rPr>
              <w:t>Consortium régional compute ; réduction dépendance ; mutualisation énergie</w:t>
            </w:r>
          </w:p>
        </w:tc>
        <w:tc>
          <w:tcPr>
            <w:tcW w:w="2614" w:type="dxa"/>
            <w:tcBorders>
              <w:top w:val="single" w:sz="2" w:space="0" w:color="CCCCCC"/>
              <w:left w:val="single" w:sz="2" w:space="0" w:color="CCCCCC"/>
              <w:bottom w:val="single" w:sz="2" w:space="0" w:color="CCCCCC"/>
              <w:right w:val="single" w:sz="2" w:space="0" w:color="CCCCCC"/>
            </w:tcBorders>
          </w:tcPr>
          <w:p w14:paraId="4BEDC7F4" w14:textId="77777777" w:rsidR="007B7C96" w:rsidRPr="006716EC" w:rsidRDefault="00000000">
            <w:pPr>
              <w:spacing w:after="40" w:line="276" w:lineRule="auto"/>
              <w:rPr>
                <w:lang w:val="fr-FR"/>
              </w:rPr>
            </w:pPr>
            <w:r>
              <w:rPr>
                <w:color w:val="333333"/>
                <w:sz w:val="20"/>
                <w:szCs w:val="20"/>
                <w:lang w:val="fr-FR"/>
              </w:rPr>
              <w:t>Capacité d’exécution limitée ; capital insuffisant ; retard 5–10 ans</w:t>
            </w:r>
          </w:p>
        </w:tc>
      </w:tr>
    </w:tbl>
    <w:p w14:paraId="77CF1A4C" w14:textId="77777777" w:rsidR="007B7C96" w:rsidRPr="006716EC" w:rsidRDefault="007B7C96">
      <w:pPr>
        <w:spacing w:after="80"/>
        <w:rPr>
          <w:lang w:val="fr-FR"/>
        </w:rPr>
      </w:pPr>
    </w:p>
    <w:p w14:paraId="5F30C46D" w14:textId="77777777" w:rsidR="007B7C96" w:rsidRPr="006716EC" w:rsidRDefault="00000000">
      <w:pPr>
        <w:spacing w:after="160" w:line="312" w:lineRule="auto"/>
        <w:rPr>
          <w:lang w:val="fr-FR"/>
        </w:rPr>
      </w:pPr>
      <w:r>
        <w:rPr>
          <w:b/>
          <w:bCs/>
          <w:color w:val="333333"/>
          <w:sz w:val="20"/>
          <w:szCs w:val="20"/>
          <w:lang w:val="fr-FR"/>
        </w:rPr>
        <w:t>Tableau 15.</w:t>
      </w:r>
      <w:r>
        <w:rPr>
          <w:i/>
          <w:iCs/>
          <w:color w:val="333333"/>
          <w:sz w:val="20"/>
          <w:szCs w:val="20"/>
          <w:lang w:val="fr-FR"/>
        </w:rPr>
        <w:t xml:space="preserve"> Scénarios spécifiques du Brésil face au protectionnisme IA américain 2026–2030. Source : construction auteur.</w:t>
      </w:r>
    </w:p>
    <w:p w14:paraId="6CEC7C4F" w14:textId="77777777" w:rsidR="007B7C96" w:rsidRPr="006716EC" w:rsidRDefault="00000000">
      <w:pPr>
        <w:spacing w:after="160" w:line="312" w:lineRule="auto"/>
        <w:ind w:firstLine="360"/>
        <w:jc w:val="both"/>
        <w:rPr>
          <w:lang w:val="fr-FR"/>
        </w:rPr>
      </w:pPr>
      <w:r>
        <w:rPr>
          <w:color w:val="333333"/>
          <w:lang w:val="fr-FR"/>
        </w:rPr>
        <w:t>Le scénario A’ (Hub neutre dual) est le plus probable à court terme. Le Brésil entretient des relations commerciales étroites avec les deux blocs et n’a aucun intérêt à s’aligner exclusivement. Cependant, ce scénario est intrinsèquement instable : les États-Unis pourraient imposer des conditions (restrictions sur l’usage de GPU Nvidia dans des data centers accueillant également des workloads chinois), forçant le Brésil à choisir. La désignation par Trump des cartels de drogue comme organisations terroristes étrangères a déjà accru l’exposition des entreprises opérant au Brésil et au Mexique aux règles de contrôle des exportations US.</w:t>
      </w:r>
      <w:r>
        <w:rPr>
          <w:color w:val="2E75B6"/>
          <w:sz w:val="18"/>
          <w:szCs w:val="18"/>
          <w:vertAlign w:val="superscript"/>
          <w:lang w:val="fr-FR"/>
        </w:rPr>
        <w:t>17</w:t>
      </w:r>
    </w:p>
    <w:p w14:paraId="4769E66C" w14:textId="77777777" w:rsidR="007B7C96" w:rsidRPr="006716EC" w:rsidRDefault="00000000">
      <w:pPr>
        <w:spacing w:after="160" w:line="312" w:lineRule="auto"/>
        <w:ind w:firstLine="360"/>
        <w:jc w:val="both"/>
        <w:rPr>
          <w:lang w:val="fr-FR"/>
        </w:rPr>
      </w:pPr>
      <w:r>
        <w:rPr>
          <w:color w:val="333333"/>
          <w:lang w:val="fr-FR"/>
        </w:rPr>
        <w:t xml:space="preserve">Le scénario B’ (Sanctions secondaires) représente le risque maximal. Si les États-Unis décidaient d’appliquer des sanctions secondaires contre les pays hébergeant des infrastructures IA chinoises significatives, le Brésil se trouverait face à un dilemme existentiel : perdre l’accès à l’écosystème technologique américain (Nvidia, AWS, Azure), ou renoncer aux investissements chinois massifs. Ce scénario, bien que peu probable à court terme, n’est pas hypothétique : les États-Unis ont déjà appliqué des sanctions secondaires sur le pétrole russe et vénézuélien, et l’Affiliates Rule </w:t>
        <w:lastRenderedPageBreak/>
        <w:t>(suspendue jusqu’en novembre 2026) étend les restrictions aux filiales d’entités listées.</w:t>
      </w:r>
      <w:r>
        <w:rPr>
          <w:color w:val="2E75B6"/>
          <w:sz w:val="18"/>
          <w:szCs w:val="18"/>
          <w:vertAlign w:val="superscript"/>
          <w:lang w:val="fr-FR"/>
        </w:rPr>
        <w:t>18</w:t>
      </w:r>
    </w:p>
    <w:p w14:paraId="44B9A3A9" w14:textId="77777777" w:rsidR="007B7C96" w:rsidRPr="006716EC" w:rsidRDefault="00000000">
      <w:pPr>
        <w:pStyle w:val="Titre2"/>
        <w:rPr>
          <w:lang w:val="fr-FR"/>
        </w:rPr>
      </w:pPr>
      <w:r>
        <w:rPr>
          <w:lang w:val="fr-FR"/>
        </w:rPr>
        <w:t>6bis.5 L’Amérique du Sud au-delà du Brésil</w:t>
      </w:r>
    </w:p>
    <w:p w14:paraId="20C86FDA" w14:textId="77777777" w:rsidR="007B7C96" w:rsidRPr="006716EC" w:rsidRDefault="00000000">
      <w:pPr>
        <w:spacing w:after="160" w:line="312" w:lineRule="auto"/>
        <w:jc w:val="both"/>
        <w:rPr>
          <w:lang w:val="fr-FR"/>
        </w:rPr>
      </w:pPr>
      <w:r>
        <w:rPr>
          <w:color w:val="333333"/>
          <w:lang w:val="fr-FR"/>
        </w:rPr>
        <w:t>Les autres économies d’Amérique du Sud subissent les mêmes dynamiques que le Brésil, mais avec moins de poids de négociation et moins d’atouts structurels.</w:t>
      </w:r>
    </w:p>
    <w:p w14:paraId="4477AF6C" w14:textId="77777777" w:rsidR="007B7C96" w:rsidRPr="006716EC" w:rsidRDefault="00000000">
      <w:pPr>
        <w:spacing w:after="160" w:line="312" w:lineRule="auto"/>
        <w:ind w:firstLine="360"/>
        <w:jc w:val="both"/>
        <w:rPr>
          <w:lang w:val="fr-FR"/>
        </w:rPr>
      </w:pPr>
      <w:r>
        <w:rPr>
          <w:color w:val="333333"/>
          <w:lang w:val="fr-FR"/>
        </w:rPr>
        <w:t xml:space="preserve">Le </w:t>
      </w:r>
      <w:r>
        <w:rPr>
          <w:b/>
          <w:bCs/>
          <w:color w:val="333333"/>
          <w:lang w:val="fr-FR"/>
        </w:rPr>
        <w:t>Chili</w:t>
      </w:r>
      <w:r>
        <w:rPr>
          <w:color w:val="333333"/>
          <w:lang w:val="fr-FR"/>
        </w:rPr>
        <w:t>, classé « pionnier » par l’ILIA 2025, bénéficie de températures favorables (réduction de la consommation énergétique de refroidissement) et d’un écosystème de gouvernance IA avancé. Microsoft a lancé en juin 2025 Chile Central, sa première région cloud dans le pays, associée au programme Transforma Chile (180 000 personnes formées, 81 000 emplois créés). Mais le Chili reste entièrement dépendant du hardware et du cloud américain, sans l’alternative chinoise dont dispose le Brésil.</w:t>
      </w:r>
    </w:p>
    <w:p w14:paraId="3E91A909" w14:textId="77777777" w:rsidR="007B7C96" w:rsidRPr="006716EC" w:rsidRDefault="00000000">
      <w:pPr>
        <w:spacing w:after="160" w:line="312" w:lineRule="auto"/>
        <w:ind w:firstLine="360"/>
        <w:jc w:val="both"/>
        <w:rPr>
          <w:lang w:val="fr-FR"/>
        </w:rPr>
      </w:pPr>
      <w:r>
        <w:rPr>
          <w:color w:val="333333"/>
          <w:lang w:val="fr-FR"/>
        </w:rPr>
        <w:t xml:space="preserve">Le </w:t>
      </w:r>
      <w:r>
        <w:rPr>
          <w:b/>
          <w:bCs/>
          <w:color w:val="333333"/>
          <w:lang w:val="fr-FR"/>
        </w:rPr>
        <w:t>Mexique</w:t>
      </w:r>
      <w:r>
        <w:rPr>
          <w:color w:val="333333"/>
          <w:lang w:val="fr-FR"/>
        </w:rPr>
        <w:t>, voisin immédiat des États-Unis, présente un profil différent. Le nearshoring (relocalisation de la production depuis l’Asie) a transformé le paysage économique, et les data centers bénéficient de la proximité du marché US. Cependant, le Mexique est plus vulnérable au protectionnisme américain du fait de l’USMCA (renouvelable en juillet 2026) et de la désignation des cartels comme organisations terroristes. Son infrastructure énergétique pour data centers est aussi moins compétitive que celle du Brésil.</w:t>
      </w:r>
    </w:p>
    <w:p w14:paraId="750EA033" w14:textId="77777777" w:rsidR="007B7C96" w:rsidRPr="006716EC" w:rsidRDefault="00000000">
      <w:pPr>
        <w:spacing w:after="160" w:line="312" w:lineRule="auto"/>
        <w:ind w:firstLine="360"/>
        <w:jc w:val="both"/>
        <w:rPr>
          <w:lang w:val="fr-FR"/>
        </w:rPr>
      </w:pPr>
      <w:r>
        <w:rPr>
          <w:color w:val="333333"/>
          <w:lang w:val="fr-FR"/>
        </w:rPr>
        <w:t xml:space="preserve">La </w:t>
      </w:r>
      <w:r>
        <w:rPr>
          <w:b/>
          <w:bCs/>
          <w:color w:val="333333"/>
          <w:lang w:val="fr-FR"/>
        </w:rPr>
        <w:t>Colombie, l’Argentine et le Pérou</w:t>
      </w:r>
      <w:r>
        <w:rPr>
          <w:color w:val="333333"/>
          <w:lang w:val="fr-FR"/>
        </w:rPr>
        <w:t>, classés « adoptants », font face à des contraintes encore plus fortes : infrastructure électrique fragile, capital humain IA limité, capacité de négociation quasi nulle avec les fournisseurs de GPU. Pour ces pays, le protectionnisme IA américain se traduit principalement par un accès retardé et renchéri aux outils IA, élargissant le fossé de productivité non seulement avec les États-Unis, mais aussi avec le Brésil et le Chili au sein même de la région.</w:t>
      </w:r>
    </w:p>
    <w:p w14:paraId="4D24ADE0" w14:textId="77777777" w:rsidR="007B7C96" w:rsidRPr="006716EC" w:rsidRDefault="00000000">
      <w:pPr>
        <w:pStyle w:val="Titre2"/>
        <w:rPr>
          <w:lang w:val="fr-FR"/>
        </w:rPr>
      </w:pPr>
      <w:r>
        <w:rPr>
          <w:lang w:val="fr-FR"/>
        </w:rPr>
        <w:t>6bis.6 Synthèse : un risque de triple fracture</w:t>
      </w:r>
    </w:p>
    <w:p w14:paraId="132F5334" w14:textId="77777777" w:rsidR="007B7C96" w:rsidRPr="006716EC" w:rsidRDefault="00000000">
      <w:pPr>
        <w:spacing w:after="160" w:line="312" w:lineRule="auto"/>
        <w:jc w:val="both"/>
        <w:rPr>
          <w:lang w:val="fr-FR"/>
        </w:rPr>
      </w:pPr>
      <w:r>
        <w:rPr>
          <w:color w:val="333333"/>
          <w:lang w:val="fr-FR"/>
        </w:rPr>
        <w:t xml:space="preserve">L’analyse de ce chapitre révèle que le protectionnisme IA américain produit en Amérique du Sud un risque de </w:t>
      </w:r>
      <w:r>
        <w:rPr>
          <w:b/>
          <w:bCs/>
          <w:color w:val="333333"/>
          <w:lang w:val="fr-FR"/>
        </w:rPr>
        <w:t>triple fracture</w:t>
      </w:r>
      <w:r>
        <w:rPr>
          <w:color w:val="333333"/>
          <w:lang w:val="fr-FR"/>
        </w:rPr>
        <w:t>, spécifique à la région et distinct du scénario européen.</w:t>
      </w:r>
    </w:p>
    <w:p w14:paraId="1997A9CA" w14:textId="77777777" w:rsidR="007B7C96" w:rsidRPr="006716EC" w:rsidRDefault="00000000">
      <w:pPr>
        <w:spacing w:after="160" w:line="312" w:lineRule="auto"/>
        <w:ind w:firstLine="360"/>
        <w:jc w:val="both"/>
        <w:rPr>
          <w:lang w:val="fr-FR"/>
        </w:rPr>
      </w:pPr>
      <w:r>
        <w:rPr>
          <w:b/>
          <w:bCs/>
          <w:color w:val="333333"/>
          <w:lang w:val="fr-FR"/>
        </w:rPr>
        <w:t>Fracture Nord-Sud.</w:t>
      </w:r>
      <w:r>
        <w:rPr>
          <w:color w:val="333333"/>
          <w:lang w:val="fr-FR"/>
        </w:rPr>
        <w:t xml:space="preserve"> L’écart de compute entre les États-Unis et l’Amérique du Sud est bien plus prononcé que l’écart US-Europe. Si le ratio CACI(US)/CACI(EU) est de 3.4:1 (Chapitre III), un ratio équivalent CACI(US)/CACI(Brésil) serait de l’ordre de 50–100:1, reflétant la combinaison d’un déficit de capacité de calcul installée, d’un capital humain IA plus limité, et d’un coût du capital plus élevé (Selic brésilien à 14,25 % fin 2025). Ce fossé est tel que le rattrapage est quasi impossible à l’horizon 2030 sans aide extérieure massive.</w:t>
      </w:r>
    </w:p>
    <w:p w14:paraId="6A597130" w14:textId="77777777" w:rsidR="007B7C96" w:rsidRPr="006716EC" w:rsidRDefault="00000000">
      <w:pPr>
        <w:spacing w:after="160" w:line="312" w:lineRule="auto"/>
        <w:ind w:firstLine="360"/>
        <w:jc w:val="both"/>
        <w:rPr>
          <w:lang w:val="fr-FR"/>
        </w:rPr>
      </w:pPr>
      <w:r>
        <w:rPr>
          <w:b/>
          <w:bCs/>
          <w:color w:val="333333"/>
          <w:lang w:val="fr-FR"/>
        </w:rPr>
        <w:lastRenderedPageBreak/>
        <w:t>Fracture Est-Ouest.</w:t>
      </w:r>
      <w:r>
        <w:rPr>
          <w:color w:val="333333"/>
          <w:lang w:val="fr-FR"/>
        </w:rPr>
        <w:t xml:space="preserve"> La rivalité US-Chine pour l’infrastructure IA en Amérique du Sud crée un risque de fragmentation technologique sans équivalent en Europe. Le Brésil pourrait se retrouver avec deux écosystèmes parallèles incompatibles (cloud US versus infrastructure chinoise), chacun répondant à une logique géopolitique propre plutôt qu’aux besoins de l’économie locale. L’Europe, en tant qu’alliée Tier 1, ne fait pas face à cette bifurcation.</w:t>
      </w:r>
    </w:p>
    <w:p w14:paraId="0458313B" w14:textId="77777777" w:rsidR="007B7C96" w:rsidRPr="006716EC" w:rsidRDefault="00000000">
      <w:pPr>
        <w:spacing w:after="160" w:line="312" w:lineRule="auto"/>
        <w:ind w:firstLine="360"/>
        <w:jc w:val="both"/>
        <w:rPr>
          <w:lang w:val="fr-FR"/>
        </w:rPr>
      </w:pPr>
      <w:r>
        <w:rPr>
          <w:b/>
          <w:bCs/>
          <w:color w:val="333333"/>
          <w:lang w:val="fr-FR"/>
        </w:rPr>
        <w:t>Fracture intra-régionale.</w:t>
      </w:r>
      <w:r>
        <w:rPr>
          <w:color w:val="333333"/>
          <w:lang w:val="fr-FR"/>
        </w:rPr>
        <w:t xml:space="preserve"> Au sein de l’Amérique du Sud, le Brésil attire l’essentiel des investissements IA (41 % du marché LATAM), suivi du Chili et du Mexique. Les pays « explorateurs » (un tiers de la région selon l’ILIA 2025) risquent d’être entièrement exclus de l’économie IA, reproduisant un schéma de dépendance analogue à celui des matières premières. Le WEF suggère un consortium multi-parties prenantes régional (modèle GAVI) pour mutualiser les ressources de compute et démocratiser l’accès à l’IA.</w:t>
      </w:r>
      <w:r>
        <w:rPr>
          <w:color w:val="2E75B6"/>
          <w:sz w:val="18"/>
          <w:szCs w:val="18"/>
          <w:vertAlign w:val="superscript"/>
          <w:lang w:val="fr-FR"/>
        </w:rPr>
        <w:t>19</w:t>
      </w:r>
    </w:p>
    <w:p w14:paraId="46656266" w14:textId="77777777" w:rsidR="007B7C96" w:rsidRPr="006716EC" w:rsidRDefault="00000000">
      <w:pPr>
        <w:spacing w:after="160" w:line="312" w:lineRule="auto"/>
        <w:jc w:val="both"/>
        <w:rPr>
          <w:lang w:val="fr-FR"/>
        </w:rPr>
      </w:pPr>
      <w:r>
        <w:rPr>
          <w:color w:val="333333"/>
          <w:lang w:val="fr-FR"/>
        </w:rPr>
        <w:t>Pour le Brésil spécifiquement, l’enjeu stratégique principal est de transformer ses atouts énergétiques (mix 83 % renouvelable) en souveraineté de compute, en évitant que la compétition US-Chine ne fragment son écosystème. La comparaison avec la France est éclairante : les deux pays possèdent un atout énergétique distinctif (nucléaire pour la France, renouvelable pour le Brésil), un champion technologique national en émergence (Mistral pour la France, écosystème fintech/Nubank pour le Brésil), et une ambition de hub régional IA. Mais le Brésil fait face à des contraintes supplémentaires (classification Tier 2, coût du capital, brain drain amplifié) qui rendent sa trajectoire plus incertaine et sa vulnérabilité au protectionnisme plus aiguë.</w:t>
      </w:r>
    </w:p>
    <w:p w14:paraId="3A7CC536" w14:textId="77777777" w:rsidR="007B7C96" w:rsidRPr="006716EC" w:rsidRDefault="00000000">
      <w:pPr>
        <w:rPr>
          <w:lang w:val="fr-FR"/>
        </w:rPr>
      </w:pPr>
      <w:r>
        <w:rPr>
          <w:lang w:val="fr-FR"/>
        </w:rPr>
        <w:br w:type="page"/>
      </w:r>
    </w:p>
    <w:p w14:paraId="5FA68082" w14:textId="77777777" w:rsidR="007B7C96" w:rsidRPr="006716EC" w:rsidRDefault="00000000">
      <w:pPr>
        <w:pBdr>
          <w:bottom w:val="single" w:sz="2" w:space="8" w:color="2E75B6"/>
        </w:pBdr>
        <w:spacing w:after="240"/>
        <w:rPr>
          <w:lang w:val="fr-FR"/>
        </w:rPr>
      </w:pPr>
      <w:r>
        <w:rPr>
          <w:b/>
          <w:bCs/>
          <w:color w:val="1B3A5C"/>
          <w:sz w:val="26"/>
          <w:szCs w:val="26"/>
          <w:lang w:val="fr-FR"/>
        </w:rPr>
        <w:lastRenderedPageBreak/>
        <w:t>Notes</w:t>
      </w:r>
    </w:p>
    <w:p w14:paraId="119CD78B" w14:textId="77777777" w:rsidR="007B7C96" w:rsidRPr="006716EC" w:rsidRDefault="00000000">
      <w:pPr>
        <w:spacing w:after="60" w:line="262" w:lineRule="auto"/>
        <w:rPr>
          <w:lang w:val="fr-FR"/>
        </w:rPr>
      </w:pPr>
      <w:r>
        <w:rPr>
          <w:color w:val="2E75B6"/>
          <w:sz w:val="18"/>
          <w:szCs w:val="18"/>
          <w:vertAlign w:val="superscript"/>
          <w:lang w:val="fr-FR"/>
        </w:rPr>
        <w:t xml:space="preserve">1 </w:t>
      </w:r>
      <w:r>
        <w:rPr>
          <w:color w:val="555555"/>
          <w:sz w:val="18"/>
          <w:szCs w:val="18"/>
          <w:lang w:val="fr-FR"/>
        </w:rPr>
        <w:t>CEPALC/CENIA (octobre 2025), Latin American Artificial Intelligence Index (ILIA 2025). L’Amérique latine représente 6,6 % du PIB mondial et 1,12 % de l’investissement mondial en IA.</w:t>
      </w:r>
    </w:p>
    <w:p w14:paraId="49059A94" w14:textId="77777777" w:rsidR="007B7C96" w:rsidRPr="006716EC" w:rsidRDefault="00000000">
      <w:pPr>
        <w:spacing w:after="60" w:line="262" w:lineRule="auto"/>
        <w:rPr>
          <w:lang w:val="fr-FR"/>
        </w:rPr>
      </w:pPr>
      <w:r>
        <w:rPr>
          <w:color w:val="2E75B6"/>
          <w:sz w:val="18"/>
          <w:szCs w:val="18"/>
          <w:vertAlign w:val="superscript"/>
          <w:lang w:val="fr-FR"/>
        </w:rPr>
        <w:t xml:space="preserve">2 </w:t>
      </w:r>
      <w:r>
        <w:rPr>
          <w:color w:val="555555"/>
          <w:sz w:val="18"/>
          <w:szCs w:val="18"/>
          <w:lang w:val="fr-FR"/>
        </w:rPr>
        <w:t>CEPALC/CENIA (2025), ibid. Trois catégories : pionniers (Chile, Brésil, Uruguay, &gt;60 pts), adoptants (Colombie, Équateur, Costa Rica, République Dominicaine), explorateurs (écosystèmes naissants).</w:t>
      </w:r>
    </w:p>
    <w:p w14:paraId="77080A9C" w14:textId="77777777" w:rsidR="007B7C96" w:rsidRPr="006716EC" w:rsidRDefault="00000000">
      <w:pPr>
        <w:spacing w:after="60" w:line="262" w:lineRule="auto"/>
        <w:rPr>
          <w:lang w:val="fr-FR"/>
        </w:rPr>
      </w:pPr>
      <w:r>
        <w:rPr>
          <w:color w:val="2E75B6"/>
          <w:sz w:val="18"/>
          <w:szCs w:val="18"/>
          <w:vertAlign w:val="superscript"/>
          <w:lang w:val="fr-FR"/>
        </w:rPr>
        <w:t xml:space="preserve">3 </w:t>
      </w:r>
      <w:r>
        <w:rPr>
          <w:color w:val="555555"/>
          <w:sz w:val="18"/>
          <w:szCs w:val="18"/>
          <w:lang w:val="fr-FR"/>
        </w:rPr>
        <w:t>Banque mondiale (novembre 2025), Digital Progress and Trends Report 2025 : Strengthening AI Foundations. Pays à revenu élevé : 77 % capacité DC en colocation, 87 % modèles IA notables, 86 % startups IA, 91 % capital-risque IA.</w:t>
      </w:r>
    </w:p>
    <w:p w14:paraId="0A8C03A1" w14:textId="77777777" w:rsidR="007B7C96" w:rsidRPr="006716EC" w:rsidRDefault="00000000">
      <w:pPr>
        <w:spacing w:after="60" w:line="262" w:lineRule="auto"/>
        <w:rPr>
          <w:lang w:val="fr-FR"/>
        </w:rPr>
      </w:pPr>
      <w:r>
        <w:rPr>
          <w:color w:val="2E75B6"/>
          <w:sz w:val="18"/>
          <w:szCs w:val="18"/>
          <w:vertAlign w:val="superscript"/>
          <w:lang w:val="fr-FR"/>
        </w:rPr>
        <w:t xml:space="preserve">4 </w:t>
      </w:r>
      <w:r>
        <w:rPr>
          <w:color w:val="555555"/>
          <w:sz w:val="18"/>
          <w:szCs w:val="18"/>
          <w:lang w:val="fr-FR"/>
        </w:rPr>
        <w:t>BIS (janvier 2025), Framework for Artificial Intelligence Diffusion. Tier 1 : 20 pays alliés (accès illimité). Tier 2 : ~140 pays dont tout le continent américain hors US/Canada (caps quantitatifs). Tier 3 : ~20 pays (accès interdit). Règle rescindée en mai 2025 par l’administration Trump, remplacement en attente.</w:t>
      </w:r>
    </w:p>
    <w:p w14:paraId="3873DBD4" w14:textId="77777777" w:rsidR="007B7C96" w:rsidRPr="006716EC" w:rsidRDefault="00000000">
      <w:pPr>
        <w:spacing w:after="60" w:line="262" w:lineRule="auto"/>
        <w:rPr>
          <w:lang w:val="fr-FR"/>
        </w:rPr>
      </w:pPr>
      <w:r>
        <w:rPr>
          <w:color w:val="2E75B6"/>
          <w:sz w:val="18"/>
          <w:szCs w:val="18"/>
          <w:vertAlign w:val="superscript"/>
        </w:rPr>
        <w:t xml:space="preserve">5 </w:t>
      </w:r>
      <w:r>
        <w:rPr>
          <w:color w:val="555555"/>
          <w:sz w:val="18"/>
          <w:szCs w:val="18"/>
        </w:rPr>
        <w:t xml:space="preserve">Brookings Institution (janvier 2025), « The New AI Diffusion Export Control Rule Will Undermine US AI Leadership ». </w:t>
      </w:r>
      <w:r>
        <w:rPr>
          <w:color w:val="555555"/>
          <w:sz w:val="18"/>
          <w:szCs w:val="18"/>
          <w:lang w:val="fr-FR"/>
        </w:rPr>
        <w:t>Les caps signifient que les besoins en compute des pays Tier 2 « ne seront vraisemblablement pas satisfaits de manière constante ».</w:t>
      </w:r>
    </w:p>
    <w:p w14:paraId="4FC53187" w14:textId="77777777" w:rsidR="007B7C96" w:rsidRPr="006716EC" w:rsidRDefault="00000000">
      <w:pPr>
        <w:spacing w:after="60" w:line="262" w:lineRule="auto"/>
        <w:rPr>
          <w:lang w:val="fr-FR"/>
        </w:rPr>
      </w:pPr>
      <w:r>
        <w:rPr>
          <w:color w:val="2E75B6"/>
          <w:sz w:val="18"/>
          <w:szCs w:val="18"/>
          <w:vertAlign w:val="superscript"/>
        </w:rPr>
        <w:t xml:space="preserve">6 </w:t>
      </w:r>
      <w:r>
        <w:rPr>
          <w:color w:val="555555"/>
          <w:sz w:val="18"/>
          <w:szCs w:val="18"/>
        </w:rPr>
        <w:t xml:space="preserve">Data Center Knowledge (décembre 2025), « AI Chip Export Controls: A New Challenge for Data Centers ». </w:t>
      </w:r>
      <w:r>
        <w:rPr>
          <w:color w:val="555555"/>
          <w:sz w:val="18"/>
          <w:szCs w:val="18"/>
          <w:lang w:val="fr-FR"/>
        </w:rPr>
        <w:t>America’s AI Action Plan (juillet 2025) promeut l’export de « full-stack AI export packages » vers les alliés.</w:t>
      </w:r>
    </w:p>
    <w:p w14:paraId="5B09D5E4" w14:textId="77777777" w:rsidR="007B7C96" w:rsidRPr="006716EC" w:rsidRDefault="00000000">
      <w:pPr>
        <w:spacing w:after="60" w:line="262" w:lineRule="auto"/>
        <w:rPr>
          <w:lang w:val="fr-FR"/>
        </w:rPr>
      </w:pPr>
      <w:r>
        <w:rPr>
          <w:color w:val="2E75B6"/>
          <w:sz w:val="18"/>
          <w:szCs w:val="18"/>
          <w:vertAlign w:val="superscript"/>
          <w:lang w:val="fr-FR"/>
        </w:rPr>
        <w:t xml:space="preserve">7 </w:t>
      </w:r>
      <w:r>
        <w:rPr>
          <w:color w:val="555555"/>
          <w:sz w:val="18"/>
          <w:szCs w:val="18"/>
          <w:lang w:val="fr-FR"/>
        </w:rPr>
        <w:t>Introl Blog (décembre 2025), « Latin America AI Infrastructure: Brazil and Mexico Data Center Opportunities ». Mix électrique brésilien 83 % renouvelable, coût électricité ~0,08 $/kWh.</w:t>
      </w:r>
    </w:p>
    <w:p w14:paraId="235F8178" w14:textId="77777777" w:rsidR="007B7C96" w:rsidRPr="006716EC" w:rsidRDefault="00000000">
      <w:pPr>
        <w:spacing w:after="60" w:line="262" w:lineRule="auto"/>
        <w:rPr>
          <w:lang w:val="fr-FR"/>
        </w:rPr>
      </w:pPr>
      <w:r>
        <w:rPr>
          <w:color w:val="2E75B6"/>
          <w:sz w:val="18"/>
          <w:szCs w:val="18"/>
          <w:vertAlign w:val="superscript"/>
          <w:lang w:val="fr-FR"/>
        </w:rPr>
        <w:t xml:space="preserve">8 </w:t>
      </w:r>
      <w:r>
        <w:rPr>
          <w:color w:val="555555"/>
          <w:sz w:val="18"/>
          <w:szCs w:val="18"/>
          <w:lang w:val="fr-FR"/>
        </w:rPr>
        <w:t>Mordor Intelligence (novembre 2025), Brazil Artificial Intelligence Data Center Market Report 2030. Marché IA DC brésilien : 0,55 Md$ (2025) → 1,24 Md$ (2030), 17,51 % CAGR. IndustrialInfo (février 2026) : 202 projets actifs, 1 GW capacité installée.</w:t>
      </w:r>
    </w:p>
    <w:p w14:paraId="21F692D1" w14:textId="77777777" w:rsidR="007B7C96" w:rsidRPr="006716EC" w:rsidRDefault="00000000">
      <w:pPr>
        <w:spacing w:after="60" w:line="262" w:lineRule="auto"/>
        <w:rPr>
          <w:lang w:val="fr-FR"/>
        </w:rPr>
      </w:pPr>
      <w:r>
        <w:rPr>
          <w:color w:val="2E75B6"/>
          <w:sz w:val="18"/>
          <w:szCs w:val="18"/>
          <w:vertAlign w:val="superscript"/>
          <w:lang w:val="fr-FR"/>
        </w:rPr>
        <w:t xml:space="preserve">9 </w:t>
      </w:r>
      <w:r>
        <w:rPr>
          <w:color w:val="555555"/>
          <w:sz w:val="18"/>
          <w:szCs w:val="18"/>
          <w:lang w:val="fr-FR"/>
        </w:rPr>
        <w:t>DCD (décembre 2025), « BNDES Working to Create Fund for AI and Data Centers in 2026 ». Mesure provisoire Redata (septembre 2025) : réduction 50 % coût capital, exonération taxes actifs IT.</w:t>
      </w:r>
    </w:p>
    <w:p w14:paraId="0B6B1493" w14:textId="77777777" w:rsidR="007B7C96" w:rsidRPr="006716EC" w:rsidRDefault="00000000">
      <w:pPr>
        <w:spacing w:after="60" w:line="262" w:lineRule="auto"/>
        <w:rPr>
          <w:lang w:val="pt-BR"/>
        </w:rPr>
      </w:pPr>
      <w:r>
        <w:rPr>
          <w:color w:val="2E75B6"/>
          <w:sz w:val="18"/>
          <w:szCs w:val="18"/>
          <w:vertAlign w:val="superscript"/>
        </w:rPr>
        <w:t xml:space="preserve">10 </w:t>
      </w:r>
      <w:r>
        <w:rPr>
          <w:color w:val="555555"/>
          <w:sz w:val="18"/>
          <w:szCs w:val="18"/>
        </w:rPr>
        <w:t xml:space="preserve">Bloomberg (décembre 2025), « Brazil Emerges as AI Hot Spot With TikTok’s Data Center Push ». </w:t>
      </w:r>
      <w:r>
        <w:rPr>
          <w:color w:val="555555"/>
          <w:sz w:val="18"/>
          <w:szCs w:val="18"/>
          <w:lang w:val="pt-BR"/>
        </w:rPr>
        <w:t>200 Md BRL (~38 Md$), partenariat ByteDance/Omnia/Casa dos Ventos, 300 MW éolien initial.</w:t>
      </w:r>
    </w:p>
    <w:p w14:paraId="26010B2B" w14:textId="77777777" w:rsidR="007B7C96" w:rsidRPr="006716EC" w:rsidRDefault="00000000">
      <w:pPr>
        <w:spacing w:after="60" w:line="262" w:lineRule="auto"/>
        <w:rPr>
          <w:lang w:val="fr-FR"/>
        </w:rPr>
      </w:pPr>
      <w:r>
        <w:rPr>
          <w:color w:val="2E75B6"/>
          <w:sz w:val="18"/>
          <w:szCs w:val="18"/>
          <w:vertAlign w:val="superscript"/>
        </w:rPr>
        <w:t xml:space="preserve">11 </w:t>
      </w:r>
      <w:r>
        <w:rPr>
          <w:color w:val="555555"/>
          <w:sz w:val="18"/>
          <w:szCs w:val="18"/>
        </w:rPr>
        <w:t xml:space="preserve">Serrari Group (février 2026), « Microsoft’s $50 Billion AI Push Into the Global South ». </w:t>
      </w:r>
      <w:r>
        <w:rPr>
          <w:color w:val="555555"/>
          <w:sz w:val="18"/>
          <w:szCs w:val="18"/>
          <w:lang w:val="fr-FR"/>
        </w:rPr>
        <w:t>Microsoft : 2,7 Md$ au Brésil (3 ans), programme ConectaAI. Engagement global de 50 Md$ pour le Sud global d’ici 2030.</w:t>
      </w:r>
    </w:p>
    <w:p w14:paraId="11163A34" w14:textId="77777777" w:rsidR="007B7C96" w:rsidRPr="006716EC" w:rsidRDefault="00000000">
      <w:pPr>
        <w:spacing w:after="60" w:line="262" w:lineRule="auto"/>
        <w:rPr>
          <w:lang w:val="fr-FR"/>
        </w:rPr>
      </w:pPr>
      <w:r>
        <w:rPr>
          <w:color w:val="2E75B6"/>
          <w:sz w:val="18"/>
          <w:szCs w:val="18"/>
          <w:vertAlign w:val="superscript"/>
          <w:lang w:val="pt-BR"/>
        </w:rPr>
        <w:t xml:space="preserve">12 </w:t>
      </w:r>
      <w:r>
        <w:rPr>
          <w:color w:val="555555"/>
          <w:sz w:val="18"/>
          <w:szCs w:val="18"/>
          <w:lang w:val="pt-BR"/>
        </w:rPr>
        <w:t xml:space="preserve">Introl Blog (décembre 2025), ibid. Scala AI City : 1,8 GW (2027) → 5 GW (2033), Eldorado do Sul. </w:t>
      </w:r>
      <w:r>
        <w:rPr>
          <w:color w:val="555555"/>
          <w:sz w:val="18"/>
          <w:szCs w:val="18"/>
          <w:lang w:val="fr-FR"/>
        </w:rPr>
        <w:t>Elea Rio AI City : 1,8 GW → 3,2 GW (2032), Oracle et Nvidia partenaires.</w:t>
      </w:r>
    </w:p>
    <w:p w14:paraId="1CC39E9B" w14:textId="77777777" w:rsidR="007B7C96" w:rsidRPr="006716EC" w:rsidRDefault="00000000">
      <w:pPr>
        <w:spacing w:after="60" w:line="262" w:lineRule="auto"/>
        <w:rPr>
          <w:lang w:val="fr-FR"/>
        </w:rPr>
      </w:pPr>
      <w:r>
        <w:rPr>
          <w:color w:val="2E75B6"/>
          <w:sz w:val="18"/>
          <w:szCs w:val="18"/>
          <w:vertAlign w:val="superscript"/>
          <w:lang w:val="fr-FR"/>
        </w:rPr>
        <w:t xml:space="preserve">13 </w:t>
      </w:r>
      <w:r>
        <w:rPr>
          <w:color w:val="555555"/>
          <w:sz w:val="18"/>
          <w:szCs w:val="18"/>
          <w:lang w:val="fr-FR"/>
        </w:rPr>
        <w:t>Brookings (janvier 2025), ibid. Les pays Tier 2 pourraient développer des chaînes d’approvisionnement non-US incluant des liens technologiques plus forts avec la Chine.</w:t>
      </w:r>
    </w:p>
    <w:p w14:paraId="17A85F40" w14:textId="77777777" w:rsidR="007B7C96" w:rsidRPr="006716EC" w:rsidRDefault="00000000">
      <w:pPr>
        <w:spacing w:after="60" w:line="262" w:lineRule="auto"/>
        <w:rPr>
          <w:lang w:val="fr-FR"/>
        </w:rPr>
      </w:pPr>
      <w:r>
        <w:rPr>
          <w:color w:val="2E75B6"/>
          <w:sz w:val="18"/>
          <w:szCs w:val="18"/>
          <w:vertAlign w:val="superscript"/>
        </w:rPr>
        <w:t xml:space="preserve">14 </w:t>
      </w:r>
      <w:r>
        <w:rPr>
          <w:color w:val="555555"/>
          <w:sz w:val="18"/>
          <w:szCs w:val="18"/>
        </w:rPr>
        <w:t xml:space="preserve">American Action Forum (novembre 2025), « The GAIN AI Act in Context: Export Controls and U.S. AI Competitiveness ». </w:t>
      </w:r>
      <w:r>
        <w:rPr>
          <w:color w:val="555555"/>
          <w:sz w:val="18"/>
          <w:szCs w:val="18"/>
          <w:lang w:val="fr-FR"/>
        </w:rPr>
        <w:t>Le GAIN AI Act propose de donner priorité aux consommateurs US domestiques pour les semi-conducteurs avancés.</w:t>
      </w:r>
    </w:p>
    <w:p w14:paraId="315AE3E8" w14:textId="77777777" w:rsidR="007B7C96" w:rsidRPr="006716EC" w:rsidRDefault="00000000">
      <w:pPr>
        <w:spacing w:after="60" w:line="262" w:lineRule="auto"/>
        <w:rPr>
          <w:lang w:val="fr-FR"/>
        </w:rPr>
      </w:pPr>
      <w:r>
        <w:rPr>
          <w:color w:val="2E75B6"/>
          <w:sz w:val="18"/>
          <w:szCs w:val="18"/>
          <w:vertAlign w:val="superscript"/>
          <w:lang w:val="fr-FR"/>
        </w:rPr>
        <w:t xml:space="preserve">15 </w:t>
      </w:r>
      <w:r>
        <w:rPr>
          <w:color w:val="555555"/>
          <w:sz w:val="18"/>
          <w:szCs w:val="18"/>
          <w:lang w:val="fr-FR"/>
        </w:rPr>
        <w:t>CEPALC/CENIA (2025), ILIA 2025 ibid. Fossé de talent IA élargi depuis 2022, associé à l’accélération du brain drain de spécialistes.</w:t>
      </w:r>
    </w:p>
    <w:p w14:paraId="06E603F7" w14:textId="77777777" w:rsidR="007B7C96" w:rsidRPr="006716EC" w:rsidRDefault="00000000">
      <w:pPr>
        <w:spacing w:after="60" w:line="262" w:lineRule="auto"/>
        <w:rPr>
          <w:lang w:val="fr-FR"/>
        </w:rPr>
      </w:pPr>
      <w:r>
        <w:rPr>
          <w:color w:val="2E75B6"/>
          <w:sz w:val="18"/>
          <w:szCs w:val="18"/>
          <w:vertAlign w:val="superscript"/>
        </w:rPr>
        <w:t xml:space="preserve">16 </w:t>
      </w:r>
      <w:r>
        <w:rPr>
          <w:color w:val="555555"/>
          <w:sz w:val="18"/>
          <w:szCs w:val="18"/>
        </w:rPr>
        <w:t xml:space="preserve">Banque mondiale / OIT (avril 2025), « Quantifying the Jobs Potential of AI in Latin America and the Caribbean ». </w:t>
      </w:r>
      <w:r>
        <w:rPr>
          <w:color w:val="555555"/>
          <w:sz w:val="18"/>
          <w:szCs w:val="18"/>
          <w:lang w:val="fr-FR"/>
        </w:rPr>
        <w:t>Déficit de productivité persistant, barrières à l’innovation et à l’adoption technologique.</w:t>
      </w:r>
    </w:p>
    <w:p w14:paraId="4132D58D" w14:textId="77777777" w:rsidR="007B7C96" w:rsidRPr="006716EC" w:rsidRDefault="00000000">
      <w:pPr>
        <w:spacing w:after="60" w:line="262" w:lineRule="auto"/>
        <w:rPr>
          <w:lang w:val="fr-FR"/>
        </w:rPr>
      </w:pPr>
      <w:r>
        <w:rPr>
          <w:color w:val="2E75B6"/>
          <w:sz w:val="18"/>
          <w:szCs w:val="18"/>
          <w:vertAlign w:val="superscript"/>
        </w:rPr>
        <w:t xml:space="preserve">17 </w:t>
      </w:r>
      <w:r>
        <w:rPr>
          <w:color w:val="555555"/>
          <w:sz w:val="18"/>
          <w:szCs w:val="18"/>
        </w:rPr>
        <w:t xml:space="preserve">Morgan Lewis (janvier 2026), « US International Trade and Investment: Key Shifts in 2025 ». </w:t>
      </w:r>
      <w:r>
        <w:rPr>
          <w:color w:val="555555"/>
          <w:sz w:val="18"/>
          <w:szCs w:val="18"/>
          <w:lang w:val="fr-FR"/>
        </w:rPr>
        <w:t>Désignation des cartels comme organisations terroristes étrangères : exposition accrue pour les entreprises opérant au Mexique et en Amérique latine.</w:t>
      </w:r>
    </w:p>
    <w:p w14:paraId="56374C40" w14:textId="77777777" w:rsidR="007B7C96" w:rsidRPr="006716EC" w:rsidRDefault="00000000">
      <w:pPr>
        <w:spacing w:after="60" w:line="262" w:lineRule="auto"/>
        <w:rPr>
          <w:lang w:val="fr-FR"/>
        </w:rPr>
      </w:pPr>
      <w:r>
        <w:rPr>
          <w:color w:val="2E75B6"/>
          <w:sz w:val="18"/>
          <w:szCs w:val="18"/>
          <w:vertAlign w:val="superscript"/>
        </w:rPr>
        <w:t xml:space="preserve">18 </w:t>
      </w:r>
      <w:r>
        <w:rPr>
          <w:color w:val="555555"/>
          <w:sz w:val="18"/>
          <w:szCs w:val="18"/>
        </w:rPr>
        <w:t xml:space="preserve">Morrison Foerster (février 2026), « Managing Export Control Risks in the AI Chip Ecosystem ». </w:t>
      </w:r>
      <w:r>
        <w:rPr>
          <w:color w:val="555555"/>
          <w:sz w:val="18"/>
          <w:szCs w:val="18"/>
          <w:lang w:val="fr-FR"/>
        </w:rPr>
        <w:t>Affiliates Rule suspendue jusqu’au 10 novembre 2026 ; étend les restrictions aux filiales d’entités listées.</w:t>
      </w:r>
    </w:p>
    <w:p w14:paraId="22751EC6" w14:textId="77777777" w:rsidR="007B7C96" w:rsidRPr="006716EC" w:rsidRDefault="00000000">
      <w:pPr>
        <w:spacing w:after="60" w:line="262" w:lineRule="auto"/>
        <w:rPr>
          <w:lang w:val="fr-FR"/>
        </w:rPr>
      </w:pPr>
      <w:r>
        <w:rPr>
          <w:color w:val="2E75B6"/>
          <w:sz w:val="18"/>
          <w:szCs w:val="18"/>
          <w:vertAlign w:val="superscript"/>
        </w:rPr>
        <w:t xml:space="preserve">19 </w:t>
      </w:r>
      <w:r>
        <w:rPr>
          <w:color w:val="555555"/>
          <w:sz w:val="18"/>
          <w:szCs w:val="18"/>
        </w:rPr>
        <w:t xml:space="preserve">WEF (janvier 2025), « Latin America Can Set the Standard in Fueling and Governing AI ». </w:t>
      </w:r>
      <w:r>
        <w:rPr>
          <w:color w:val="555555"/>
          <w:sz w:val="18"/>
          <w:szCs w:val="18"/>
          <w:lang w:val="fr-FR"/>
        </w:rPr>
        <w:t>Proposition de consortium multi-parties prenantes régional (modèle GAVI) pour mutualiser les ressources de compute.</w:t>
      </w:r>
    </w:p>
    <w:p w14:paraId="022A5E83" w14:textId="77777777" w:rsidR="007B7C96" w:rsidRPr="006716EC" w:rsidRDefault="00000000">
      <w:pPr>
        <w:spacing w:after="60" w:line="262" w:lineRule="auto"/>
        <w:rPr>
          <w:color w:val="555555"/>
          <w:sz w:val="18"/>
          <w:szCs w:val="18"/>
          <w:lang w:val="fr-FR"/>
        </w:rPr>
      </w:pPr>
      <w:r>
        <w:rPr>
          <w:lang w:val="fr-FR"/>
        </w:rPr>
        <w:br w:type="page"/>
      </w:r>
    </w:p>
    <w:p w14:paraId="2E786D21" w14:textId="77777777" w:rsidR="007B7C96" w:rsidRPr="006716EC" w:rsidRDefault="00000000">
      <w:pPr>
        <w:spacing w:after="60" w:line="262" w:lineRule="auto"/>
        <w:rPr>
          <w:color w:val="555555"/>
          <w:sz w:val="18"/>
          <w:szCs w:val="18"/>
          <w:lang w:val="fr-FR"/>
        </w:rPr>
      </w:pPr>
      <w:r>
        <w:rPr>
          <w:color w:val="555555"/>
          <w:sz w:val="18"/>
          <w:szCs w:val="18"/>
          <w:lang w:val="fr-FR"/>
        </w:rPr>
        <w:lastRenderedPageBreak/>
        <w:t>Licence et Avertissement Ce travail, "</w:t>
      </w:r>
      <w:hyperlink r:id="rId6">
        <w:r>
          <w:rPr>
            <w:rStyle w:val="Lienhypertexte"/>
            <w:b/>
            <w:bCs/>
            <w:color w:val="555555"/>
            <w:sz w:val="18"/>
            <w:szCs w:val="18"/>
            <w:lang w:val="fr-FR"/>
          </w:rPr>
          <w:t>America-First-IA</w:t>
        </w:r>
      </w:hyperlink>
      <w:r>
        <w:rPr>
          <w:color w:val="555555"/>
          <w:sz w:val="18"/>
          <w:szCs w:val="18"/>
          <w:lang w:val="fr-FR"/>
        </w:rPr>
        <w:t>", est mis à disposition selon les</w:t>
      </w:r>
    </w:p>
    <w:p w14:paraId="5CFF64E7" w14:textId="77777777" w:rsidR="007B7C96" w:rsidRPr="006716EC" w:rsidRDefault="00000000">
      <w:pPr>
        <w:spacing w:after="60" w:line="262" w:lineRule="auto"/>
        <w:rPr>
          <w:color w:val="555555"/>
          <w:sz w:val="18"/>
          <w:szCs w:val="18"/>
          <w:lang w:val="fr-FR"/>
        </w:rPr>
      </w:pPr>
      <w:r>
        <w:rPr>
          <w:color w:val="555555"/>
          <w:sz w:val="18"/>
          <w:szCs w:val="18"/>
          <w:lang w:val="fr-FR"/>
        </w:rPr>
        <w:t>termes de la Licence Creative Commons Attribution - Pas d'Utilisation Commerciale - Partage</w:t>
      </w:r>
    </w:p>
    <w:p w14:paraId="4CCEE190" w14:textId="77777777" w:rsidR="007B7C96" w:rsidRPr="006716EC" w:rsidRDefault="00000000">
      <w:pPr>
        <w:spacing w:after="60" w:line="262" w:lineRule="auto"/>
        <w:rPr>
          <w:color w:val="555555"/>
          <w:sz w:val="18"/>
          <w:szCs w:val="18"/>
          <w:lang w:val="fr-FR"/>
        </w:rPr>
      </w:pPr>
      <w:r>
        <w:rPr>
          <w:color w:val="555555"/>
          <w:sz w:val="18"/>
          <w:szCs w:val="18"/>
          <w:lang w:val="fr-FR"/>
        </w:rPr>
        <w:t>dans les Mêmes Conditions 4.0 International (CC BY-NC-SA 4.0).</w:t>
      </w:r>
    </w:p>
    <w:p w14:paraId="37B01D84" w14:textId="77777777" w:rsidR="007B7C96" w:rsidRPr="006716EC" w:rsidRDefault="00000000">
      <w:pPr>
        <w:spacing w:after="60" w:line="262" w:lineRule="auto"/>
        <w:rPr>
          <w:color w:val="555555"/>
          <w:sz w:val="18"/>
          <w:szCs w:val="18"/>
          <w:lang w:val="fr-FR"/>
        </w:rPr>
      </w:pPr>
      <w:r>
        <w:rPr>
          <w:color w:val="555555"/>
          <w:sz w:val="18"/>
          <w:szCs w:val="18"/>
          <w:lang w:val="fr-FR"/>
        </w:rPr>
        <w:t>Vous êtes libre de partager et d'adapter le matériel à des fins non commerciales, à condition</w:t>
      </w:r>
    </w:p>
    <w:p w14:paraId="7A692060" w14:textId="77777777" w:rsidR="007B7C96" w:rsidRPr="006716EC" w:rsidRDefault="00000000">
      <w:pPr>
        <w:spacing w:after="60" w:line="262" w:lineRule="auto"/>
        <w:rPr>
          <w:color w:val="555555"/>
          <w:sz w:val="18"/>
          <w:szCs w:val="18"/>
          <w:lang w:val="fr-FR"/>
        </w:rPr>
      </w:pPr>
      <w:r>
        <w:rPr>
          <w:color w:val="555555"/>
          <w:sz w:val="18"/>
          <w:szCs w:val="18"/>
          <w:lang w:val="fr-FR"/>
        </w:rPr>
        <w:t>de créditer de manière appropriée Fabrice Pizzi (Université Paris Sorbonne) et de diffuser</w:t>
      </w:r>
    </w:p>
    <w:p w14:paraId="2E0BF165" w14:textId="77777777" w:rsidR="007B7C96" w:rsidRPr="006716EC" w:rsidRDefault="00000000">
      <w:pPr>
        <w:spacing w:after="60" w:line="262" w:lineRule="auto"/>
        <w:rPr>
          <w:color w:val="555555"/>
          <w:sz w:val="18"/>
          <w:szCs w:val="18"/>
          <w:lang w:val="fr-FR"/>
        </w:rPr>
      </w:pPr>
      <w:r>
        <w:rPr>
          <w:color w:val="555555"/>
          <w:sz w:val="18"/>
          <w:szCs w:val="18"/>
          <w:lang w:val="fr-FR"/>
        </w:rPr>
        <w:t>vos contributions avec la même licence. Ce document est fourni à des fins éducatives et de</w:t>
      </w:r>
    </w:p>
    <w:p w14:paraId="1B388689" w14:textId="77777777" w:rsidR="007B7C96" w:rsidRDefault="00000000">
      <w:pPr>
        <w:spacing w:after="60" w:line="262" w:lineRule="auto"/>
        <w:rPr>
          <w:color w:val="555555"/>
          <w:sz w:val="18"/>
          <w:szCs w:val="18"/>
        </w:rPr>
      </w:pPr>
      <w:r>
        <w:rPr>
          <w:color w:val="555555"/>
          <w:sz w:val="18"/>
          <w:szCs w:val="18"/>
        </w:rPr>
        <w:t>recherche uniquement.</w:t>
      </w:r>
    </w:p>
    <w:sectPr w:rsidR="007B7C96">
      <w:headerReference w:type="even" r:id="rId7"/>
      <w:headerReference w:type="default" r:id="rId8"/>
      <w:footerReference w:type="even" r:id="rId9"/>
      <w:footerReference w:type="default" r:id="rId10"/>
      <w:headerReference w:type="first" r:id="rId11"/>
      <w:footerReference w:type="first" r:id="rId12"/>
      <w:pgSz w:w="11906" w:h="16838"/>
      <w:pgMar w:top="1440" w:right="1440" w:bottom="1440" w:left="1800" w:header="708" w:footer="708" w:gutter="0"/>
      <w:cols w:space="720"/>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B48BBB8" w14:textId="77777777" w:rsidR="0003514D" w:rsidRDefault="0003514D">
      <w:r>
        <w:separator/>
      </w:r>
    </w:p>
  </w:endnote>
  <w:endnote w:type="continuationSeparator" w:id="0">
    <w:p w14:paraId="3A0B5123" w14:textId="77777777" w:rsidR="0003514D" w:rsidRDefault="0003514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Georgia">
    <w:panose1 w:val="02040502050405020303"/>
    <w:charset w:val="00"/>
    <w:family w:val="roman"/>
    <w:pitch w:val="variable"/>
    <w:sig w:usb0="00000287" w:usb1="00000000" w:usb2="00000000" w:usb3="00000000" w:csb0="0000009F" w:csb1="00000000"/>
  </w:font>
  <w:font w:name="Liberation Sans">
    <w:altName w:val="Arial"/>
    <w:charset w:val="01"/>
    <w:family w:val="swiss"/>
    <w:pitch w:val="variable"/>
  </w:font>
  <w:font w:name="Noto Sans CJK SC">
    <w:panose1 w:val="00000000000000000000"/>
    <w:charset w:val="00"/>
    <w:family w:val="roman"/>
    <w:notTrueType/>
    <w:pitch w:val="default"/>
  </w:font>
  <w:font w:name="Lohit Devanagari">
    <w:altName w:val="Cambria"/>
    <w:panose1 w:val="00000000000000000000"/>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375F953" w14:textId="77777777" w:rsidR="007B7C96" w:rsidRDefault="007B7C96">
    <w:pPr>
      <w:pStyle w:val="Pieddepag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E1DABE2" w14:textId="77777777" w:rsidR="007B7C96" w:rsidRDefault="00000000">
    <w:pPr>
      <w:pBdr>
        <w:top w:val="single" w:sz="2" w:space="4" w:color="CCCCCC"/>
      </w:pBdr>
      <w:jc w:val="center"/>
    </w:pPr>
    <w:r>
      <w:rPr>
        <w:color w:val="555555"/>
        <w:sz w:val="16"/>
        <w:szCs w:val="16"/>
      </w:rPr>
      <w:t xml:space="preserve">AI for Americans First — Fabrice Pizzi — Page </w:t>
    </w:r>
    <w:r>
      <w:rPr>
        <w:color w:val="555555"/>
        <w:sz w:val="18"/>
        <w:szCs w:val="18"/>
      </w:rPr>
      <w:fldChar w:fldCharType="begin"/>
    </w:r>
    <w:r>
      <w:rPr>
        <w:color w:val="555555"/>
        <w:sz w:val="18"/>
        <w:szCs w:val="18"/>
      </w:rPr>
      <w:instrText xml:space="preserve"> PAGE </w:instrText>
    </w:r>
    <w:r>
      <w:rPr>
        <w:color w:val="555555"/>
        <w:sz w:val="18"/>
        <w:szCs w:val="18"/>
      </w:rPr>
      <w:fldChar w:fldCharType="separate"/>
    </w:r>
    <w:r>
      <w:rPr>
        <w:color w:val="555555"/>
        <w:sz w:val="18"/>
        <w:szCs w:val="18"/>
      </w:rPr>
      <w:t>14</w:t>
    </w:r>
    <w:r>
      <w:rPr>
        <w:color w:val="555555"/>
        <w:sz w:val="18"/>
        <w:szCs w:val="18"/>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9614CC" w14:textId="77777777" w:rsidR="007B7C96" w:rsidRDefault="00000000">
    <w:pPr>
      <w:pBdr>
        <w:top w:val="single" w:sz="2" w:space="4" w:color="CCCCCC"/>
      </w:pBdr>
      <w:jc w:val="center"/>
    </w:pPr>
    <w:r>
      <w:rPr>
        <w:color w:val="555555"/>
        <w:sz w:val="16"/>
        <w:szCs w:val="16"/>
      </w:rPr>
      <w:t xml:space="preserve">AI for Americans First — Fabrice Pizzi — Page </w:t>
    </w:r>
    <w:r>
      <w:rPr>
        <w:color w:val="555555"/>
        <w:sz w:val="18"/>
        <w:szCs w:val="18"/>
      </w:rPr>
      <w:fldChar w:fldCharType="begin"/>
    </w:r>
    <w:r>
      <w:rPr>
        <w:color w:val="555555"/>
        <w:sz w:val="18"/>
        <w:szCs w:val="18"/>
      </w:rPr>
      <w:instrText xml:space="preserve"> PAGE </w:instrText>
    </w:r>
    <w:r>
      <w:rPr>
        <w:color w:val="555555"/>
        <w:sz w:val="18"/>
        <w:szCs w:val="18"/>
      </w:rPr>
      <w:fldChar w:fldCharType="separate"/>
    </w:r>
    <w:r>
      <w:rPr>
        <w:color w:val="555555"/>
        <w:sz w:val="18"/>
        <w:szCs w:val="18"/>
      </w:rPr>
      <w:t>14</w:t>
    </w:r>
    <w:r>
      <w:rPr>
        <w:color w:val="555555"/>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F5A803A" w14:textId="77777777" w:rsidR="0003514D" w:rsidRDefault="0003514D">
      <w:r>
        <w:separator/>
      </w:r>
    </w:p>
  </w:footnote>
  <w:footnote w:type="continuationSeparator" w:id="0">
    <w:p w14:paraId="207B1BEF" w14:textId="77777777" w:rsidR="0003514D" w:rsidRDefault="0003514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19E35F" w14:textId="77777777" w:rsidR="007B7C96" w:rsidRDefault="007B7C96">
    <w:pPr>
      <w:pStyle w:val="En-tt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A9DD62C" w14:textId="77777777" w:rsidR="007B7C96" w:rsidRPr="006716EC" w:rsidRDefault="00000000">
    <w:pPr>
      <w:pBdr>
        <w:bottom w:val="single" w:sz="2" w:space="4" w:color="2E75B6"/>
      </w:pBdr>
      <w:rPr>
        <w:lang w:val="fr-FR"/>
      </w:rPr>
    </w:pPr>
    <w:r w:rsidRPr="006716EC">
      <w:rPr>
        <w:i/>
        <w:iCs/>
        <w:color w:val="2E75B6"/>
        <w:sz w:val="16"/>
        <w:szCs w:val="16"/>
        <w:lang w:val="fr-FR"/>
      </w:rPr>
      <w:t>Chapitre VI bis — Conséquences pour l’Amérique du Sud et le Brésil</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A064270" w14:textId="77777777" w:rsidR="007B7C96" w:rsidRPr="006716EC" w:rsidRDefault="00000000">
    <w:pPr>
      <w:pBdr>
        <w:bottom w:val="single" w:sz="2" w:space="4" w:color="2E75B6"/>
      </w:pBdr>
      <w:rPr>
        <w:lang w:val="fr-FR"/>
      </w:rPr>
    </w:pPr>
    <w:r w:rsidRPr="006716EC">
      <w:rPr>
        <w:i/>
        <w:iCs/>
        <w:color w:val="2E75B6"/>
        <w:sz w:val="16"/>
        <w:szCs w:val="16"/>
        <w:lang w:val="fr-FR"/>
      </w:rPr>
      <w:t>Chapitre VI bis — Conséquences pour l’Amérique du Sud et le Brésil</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autoHyphenation/>
  <w:hyphenationZone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B7C96"/>
    <w:rsid w:val="0003514D"/>
    <w:rsid w:val="006716EC"/>
    <w:rsid w:val="007B7C96"/>
    <w:rsid w:val="00EF5EBE"/>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BAEC99"/>
  <w15:docId w15:val="{68373926-57BD-409F-9DF4-8C028DA8EF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Georgia" w:eastAsia="Georgia" w:hAnsi="Georgia" w:cs="Georgia"/>
        <w:sz w:val="23"/>
        <w:szCs w:val="23"/>
        <w:lang w:val="en-US"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Heading"/>
    <w:uiPriority w:val="9"/>
    <w:qFormat/>
    <w:pPr>
      <w:spacing w:before="400" w:after="240"/>
      <w:outlineLvl w:val="0"/>
    </w:pPr>
    <w:rPr>
      <w:rFonts w:ascii="Georgia" w:eastAsia="Georgia" w:hAnsi="Georgia" w:cs="Georgia"/>
      <w:b/>
      <w:bCs/>
      <w:color w:val="1B3A5C"/>
      <w:sz w:val="32"/>
      <w:szCs w:val="32"/>
    </w:rPr>
  </w:style>
  <w:style w:type="paragraph" w:styleId="Titre2">
    <w:name w:val="heading 2"/>
    <w:basedOn w:val="Heading"/>
    <w:uiPriority w:val="9"/>
    <w:unhideWhenUsed/>
    <w:qFormat/>
    <w:pPr>
      <w:spacing w:before="320" w:after="160"/>
      <w:outlineLvl w:val="1"/>
    </w:pPr>
    <w:rPr>
      <w:rFonts w:ascii="Georgia" w:eastAsia="Georgia" w:hAnsi="Georgia" w:cs="Georgia"/>
      <w:b/>
      <w:bCs/>
      <w:color w:val="2E75B6"/>
      <w:sz w:val="26"/>
      <w:szCs w:val="26"/>
    </w:rPr>
  </w:style>
  <w:style w:type="paragraph" w:styleId="Titre3">
    <w:name w:val="heading 3"/>
    <w:basedOn w:val="Heading"/>
    <w:uiPriority w:val="9"/>
    <w:unhideWhenUsed/>
    <w:qFormat/>
    <w:pPr>
      <w:outlineLvl w:val="2"/>
    </w:pPr>
    <w:rPr>
      <w:rFonts w:ascii="Georgia" w:eastAsia="Georgia" w:hAnsi="Georgia" w:cs="Georgia"/>
      <w:b/>
      <w:bCs/>
      <w:i/>
      <w:iCs/>
      <w:color w:val="1B3A5C"/>
      <w:sz w:val="23"/>
      <w:szCs w:val="23"/>
    </w:rPr>
  </w:style>
  <w:style w:type="paragraph" w:styleId="Titre4">
    <w:name w:val="heading 4"/>
    <w:basedOn w:val="Heading"/>
    <w:uiPriority w:val="9"/>
    <w:semiHidden/>
    <w:unhideWhenUsed/>
    <w:qFormat/>
    <w:pPr>
      <w:outlineLvl w:val="3"/>
    </w:pPr>
    <w:rPr>
      <w:i/>
      <w:iCs/>
      <w:color w:val="2E74B5"/>
    </w:rPr>
  </w:style>
  <w:style w:type="paragraph" w:styleId="Titre5">
    <w:name w:val="heading 5"/>
    <w:basedOn w:val="Heading"/>
    <w:uiPriority w:val="9"/>
    <w:semiHidden/>
    <w:unhideWhenUsed/>
    <w:qFormat/>
    <w:pPr>
      <w:outlineLvl w:val="4"/>
    </w:pPr>
    <w:rPr>
      <w:color w:val="2E74B5"/>
    </w:rPr>
  </w:style>
  <w:style w:type="paragraph" w:styleId="Titre6">
    <w:name w:val="heading 6"/>
    <w:basedOn w:val="Heading"/>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styleId="Lienhypertexte">
    <w:name w:val="Hyperlink"/>
    <w:uiPriority w:val="99"/>
    <w:unhideWhenUsed/>
    <w:rPr>
      <w:color w:val="0563C1"/>
      <w:u w:val="single"/>
    </w:rPr>
  </w:style>
  <w:style w:type="character" w:customStyle="1" w:styleId="FootnoteCharacters">
    <w:name w:val="Footnote Characters"/>
    <w:uiPriority w:val="99"/>
    <w:semiHidden/>
    <w:unhideWhenUsed/>
    <w:qFormat/>
    <w:rPr>
      <w:vertAlign w:val="superscript"/>
    </w:rPr>
  </w:style>
  <w:style w:type="character" w:styleId="Appelnotedebasdep">
    <w:name w:val="footnote reference"/>
    <w:rPr>
      <w:vertAlign w:val="superscript"/>
    </w:rPr>
  </w:style>
  <w:style w:type="character" w:customStyle="1" w:styleId="NotedebasdepageCar">
    <w:name w:val="Note de bas de page Car"/>
    <w:link w:val="Notedebasdepage"/>
    <w:uiPriority w:val="99"/>
    <w:semiHidden/>
    <w:unhideWhenUsed/>
    <w:qFormat/>
    <w:rPr>
      <w:sz w:val="20"/>
      <w:szCs w:val="20"/>
    </w:rPr>
  </w:style>
  <w:style w:type="character" w:customStyle="1" w:styleId="EndnoteCharacters">
    <w:name w:val="Endnote Characters"/>
    <w:uiPriority w:val="99"/>
    <w:semiHidden/>
    <w:unhideWhenUsed/>
    <w:qFormat/>
    <w:rPr>
      <w:vertAlign w:val="superscript"/>
    </w:rPr>
  </w:style>
  <w:style w:type="character" w:styleId="Appeldenotedefin">
    <w:name w:val="endnote reference"/>
    <w:rPr>
      <w:vertAlign w:val="superscript"/>
    </w:rPr>
  </w:style>
  <w:style w:type="character" w:customStyle="1" w:styleId="NotedefinCar">
    <w:name w:val="Note de fin Car"/>
    <w:link w:val="Notedefin"/>
    <w:uiPriority w:val="99"/>
    <w:semiHidden/>
    <w:unhideWhenUsed/>
    <w:qFormat/>
    <w:rPr>
      <w:sz w:val="20"/>
      <w:szCs w:val="20"/>
    </w:rPr>
  </w:style>
  <w:style w:type="character" w:styleId="lev">
    <w:name w:val="Strong"/>
    <w:qFormat/>
    <w:rPr>
      <w:b/>
      <w:bCs/>
    </w:rPr>
  </w:style>
  <w:style w:type="paragraph" w:customStyle="1" w:styleId="Heading">
    <w:name w:val="Heading"/>
    <w:basedOn w:val="Normal"/>
    <w:next w:val="Corpsdetexte"/>
    <w:qFormat/>
    <w:pPr>
      <w:keepNext/>
      <w:spacing w:before="240" w:after="120"/>
    </w:pPr>
    <w:rPr>
      <w:rFonts w:ascii="Liberation Sans" w:eastAsia="Noto Sans CJK SC" w:hAnsi="Liberation Sans" w:cs="Lohit Devanagari"/>
      <w:sz w:val="28"/>
      <w:szCs w:val="28"/>
    </w:rPr>
  </w:style>
  <w:style w:type="paragraph" w:styleId="Corpsdetexte">
    <w:name w:val="Body Text"/>
    <w:basedOn w:val="Normal"/>
    <w:pPr>
      <w:spacing w:after="140" w:line="276" w:lineRule="auto"/>
    </w:pPr>
  </w:style>
  <w:style w:type="paragraph" w:styleId="Liste">
    <w:name w:val="List"/>
    <w:basedOn w:val="Corpsdetexte"/>
    <w:rPr>
      <w:rFonts w:cs="Lohit Devanagari"/>
    </w:rPr>
  </w:style>
  <w:style w:type="paragraph" w:styleId="Lgende">
    <w:name w:val="caption"/>
    <w:basedOn w:val="Normal"/>
    <w:qFormat/>
    <w:pPr>
      <w:suppressLineNumbers/>
      <w:spacing w:before="120" w:after="120"/>
    </w:pPr>
    <w:rPr>
      <w:rFonts w:cs="Lohit Devanagari"/>
      <w:i/>
      <w:iCs/>
      <w:sz w:val="24"/>
      <w:szCs w:val="24"/>
    </w:rPr>
  </w:style>
  <w:style w:type="paragraph" w:customStyle="1" w:styleId="Index">
    <w:name w:val="Index"/>
    <w:basedOn w:val="Normal"/>
    <w:qFormat/>
    <w:pPr>
      <w:suppressLineNumbers/>
    </w:pPr>
    <w:rPr>
      <w:rFonts w:cs="Lohit Devanagari"/>
    </w:rPr>
  </w:style>
  <w:style w:type="paragraph" w:styleId="Titre">
    <w:name w:val="Title"/>
    <w:basedOn w:val="Heading"/>
    <w:uiPriority w:val="10"/>
    <w:qFormat/>
    <w:rPr>
      <w:sz w:val="56"/>
      <w:szCs w:val="56"/>
    </w:rPr>
  </w:style>
  <w:style w:type="paragraph" w:customStyle="1" w:styleId="StrongEmphasis">
    <w:name w:val="Strong Emphasis"/>
    <w:qFormat/>
    <w:rPr>
      <w:b/>
      <w:bCs/>
    </w:rPr>
  </w:style>
  <w:style w:type="paragraph" w:styleId="Paragraphedeliste">
    <w:name w:val="List Paragraph"/>
    <w:qFormat/>
  </w:style>
  <w:style w:type="paragraph" w:styleId="Notedebasdepage">
    <w:name w:val="footnote text"/>
    <w:basedOn w:val="Normal"/>
    <w:link w:val="NotedebasdepageCar"/>
    <w:uiPriority w:val="99"/>
    <w:semiHidden/>
    <w:unhideWhenUsed/>
    <w:rPr>
      <w:sz w:val="20"/>
      <w:szCs w:val="20"/>
    </w:rPr>
  </w:style>
  <w:style w:type="paragraph" w:styleId="Notedefin">
    <w:name w:val="endnote text"/>
    <w:basedOn w:val="Normal"/>
    <w:link w:val="NotedefinCar"/>
    <w:uiPriority w:val="99"/>
    <w:semiHidden/>
    <w:unhideWhenUsed/>
    <w:rPr>
      <w:sz w:val="20"/>
      <w:szCs w:val="20"/>
    </w:rPr>
  </w:style>
  <w:style w:type="paragraph" w:customStyle="1" w:styleId="HeaderandFooter">
    <w:name w:val="Header and Footer"/>
    <w:basedOn w:val="Normal"/>
    <w:qFormat/>
  </w:style>
  <w:style w:type="paragraph" w:styleId="En-tte">
    <w:name w:val="header"/>
    <w:basedOn w:val="HeaderandFooter"/>
  </w:style>
  <w:style w:type="paragraph" w:styleId="Pieddepage">
    <w:name w:val="footer"/>
    <w:basedOn w:val="HeaderandFoote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github.com/mo0ogly/America-First-IA" TargetMode="External"/><Relationship Id="rId11" Type="http://schemas.openxmlformats.org/officeDocument/2006/relationships/header" Target="header3.xml"/><Relationship Id="rId5" Type="http://schemas.openxmlformats.org/officeDocument/2006/relationships/endnotes" Target="endnotes.xml"/><Relationship Id="rId10" Type="http://schemas.openxmlformats.org/officeDocument/2006/relationships/footer" Target="footer2.xml"/><Relationship Id="rId4" Type="http://schemas.openxmlformats.org/officeDocument/2006/relationships/footnotes" Target="footnote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50</TotalTime>
  <Pages>11</Pages>
  <Words>3819</Words>
  <Characters>21005</Characters>
  <Application>Microsoft Office Word</Application>
  <DocSecurity>0</DocSecurity>
  <Lines>175</Lines>
  <Paragraphs>49</Paragraphs>
  <ScaleCrop>false</ScaleCrop>
  <Company/>
  <LinksUpToDate>false</LinksUpToDate>
  <CharactersWithSpaces>24775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dc:description/>
  <cp:lastModifiedBy>fabrice pizzi</cp:lastModifiedBy>
  <cp:revision>4</cp:revision>
  <dcterms:created xsi:type="dcterms:W3CDTF">2026-02-24T09:58:00Z</dcterms:created>
  <dcterms:modified xsi:type="dcterms:W3CDTF">2026-02-26T09:25:00Z</dcterms:modified>
  <dc:language>en-US</dc:language>
</cp:coreProperties>
</file>