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7EC92" w14:textId="77777777" w:rsidR="002267BB" w:rsidRDefault="00000000">
      <w:pPr>
        <w:shd w:val="clear" w:color="auto" w:fill="D4AC0D"/>
        <w:jc w:val="center"/>
      </w:pPr>
      <w:r>
        <w:rPr>
          <w:rFonts w:ascii="Calibri" w:eastAsia="Calibri" w:hAnsi="Calibri" w:cs="Calibri"/>
          <w:sz w:val="28"/>
          <w:szCs w:val="28"/>
        </w:rPr>
        <w:t xml:space="preserve"> </w:t>
      </w:r>
    </w:p>
    <w:p w14:paraId="65FBA003" w14:textId="77777777" w:rsidR="002267BB" w:rsidRPr="0088580B" w:rsidRDefault="00000000">
      <w:pPr>
        <w:shd w:val="clear" w:color="auto" w:fill="D4AC0D"/>
        <w:jc w:val="center"/>
        <w:rPr>
          <w:lang w:val="fr-FR"/>
        </w:rPr>
      </w:pPr>
      <w:r>
        <w:rPr>
          <w:rFonts w:ascii="Calibri" w:eastAsia="Calibri" w:hAnsi="Calibri" w:cs="Calibri"/>
          <w:b/>
          <w:bCs/>
          <w:color w:val="0B1929"/>
          <w:sz w:val="22"/>
          <w:szCs w:val="22"/>
          <w:lang w:val="fr-FR"/>
        </w:rPr>
        <w:t>ÉTUDE DE RECHERCHE — FÉVRIER 2026</w:t>
      </w:r>
    </w:p>
    <w:p w14:paraId="0136806A" w14:textId="77777777" w:rsidR="002267BB" w:rsidRPr="0088580B" w:rsidRDefault="00000000">
      <w:pPr>
        <w:shd w:val="clear" w:color="auto" w:fill="D4AC0D"/>
        <w:rPr>
          <w:lang w:val="fr-FR"/>
        </w:rPr>
      </w:pPr>
      <w:r>
        <w:rPr>
          <w:sz w:val="16"/>
          <w:szCs w:val="16"/>
          <w:lang w:val="fr-FR"/>
        </w:rPr>
        <w:t xml:space="preserve"> </w:t>
      </w:r>
    </w:p>
    <w:p w14:paraId="22E91683" w14:textId="77777777" w:rsidR="002267BB" w:rsidRPr="0088580B" w:rsidRDefault="002267BB">
      <w:pPr>
        <w:spacing w:before="600"/>
        <w:rPr>
          <w:lang w:val="fr-FR"/>
        </w:rPr>
      </w:pPr>
    </w:p>
    <w:p w14:paraId="63115550" w14:textId="77777777" w:rsidR="002267BB" w:rsidRPr="0088580B" w:rsidRDefault="002267BB">
      <w:pPr>
        <w:spacing w:before="600"/>
        <w:rPr>
          <w:lang w:val="fr-FR"/>
        </w:rPr>
      </w:pPr>
    </w:p>
    <w:p w14:paraId="2B02CC79" w14:textId="77777777" w:rsidR="002267BB" w:rsidRPr="0088580B" w:rsidRDefault="00000000">
      <w:pPr>
        <w:spacing w:before="200" w:after="100"/>
        <w:jc w:val="center"/>
        <w:rPr>
          <w:lang w:val="fr-FR"/>
        </w:rPr>
      </w:pPr>
      <w:r>
        <w:rPr>
          <w:rFonts w:ascii="Calibri" w:eastAsia="Calibri" w:hAnsi="Calibri" w:cs="Calibri"/>
          <w:b/>
          <w:bCs/>
          <w:color w:val="0B1929"/>
          <w:sz w:val="72"/>
          <w:szCs w:val="72"/>
          <w:lang w:val="fr-FR"/>
        </w:rPr>
        <w:t>AI FOR AMERICANS FIRST</w:t>
      </w:r>
    </w:p>
    <w:p w14:paraId="256AF70E" w14:textId="77777777" w:rsidR="002267BB" w:rsidRPr="0088580B" w:rsidRDefault="002267BB">
      <w:pPr>
        <w:pBdr>
          <w:bottom w:val="single" w:sz="12" w:space="1" w:color="D4AC0D"/>
        </w:pBdr>
        <w:spacing w:before="200" w:after="200"/>
        <w:ind w:left="2880" w:right="2880"/>
        <w:jc w:val="center"/>
        <w:rPr>
          <w:lang w:val="fr-FR"/>
        </w:rPr>
      </w:pPr>
    </w:p>
    <w:p w14:paraId="1394974D" w14:textId="77777777" w:rsidR="002267BB" w:rsidRPr="0088580B" w:rsidRDefault="00000000">
      <w:pPr>
        <w:spacing w:before="300" w:after="80"/>
        <w:jc w:val="center"/>
        <w:rPr>
          <w:lang w:val="fr-FR"/>
        </w:rPr>
      </w:pPr>
      <w:r>
        <w:rPr>
          <w:rFonts w:ascii="Calibri" w:eastAsia="Calibri" w:hAnsi="Calibri" w:cs="Calibri"/>
          <w:color w:val="0B1929"/>
          <w:sz w:val="30"/>
          <w:szCs w:val="30"/>
          <w:lang w:val="fr-FR"/>
        </w:rPr>
        <w:t>Protectionnisme IA, Énergie et Semi-conducteurs :</w:t>
      </w:r>
    </w:p>
    <w:p w14:paraId="467D15D3" w14:textId="77777777" w:rsidR="002267BB" w:rsidRPr="0088580B" w:rsidRDefault="00000000">
      <w:pPr>
        <w:spacing w:before="80" w:after="80"/>
        <w:jc w:val="center"/>
        <w:rPr>
          <w:lang w:val="fr-FR"/>
        </w:rPr>
      </w:pPr>
      <w:r>
        <w:rPr>
          <w:rFonts w:ascii="Calibri" w:eastAsia="Calibri" w:hAnsi="Calibri" w:cs="Calibri"/>
          <w:color w:val="0B1929"/>
          <w:sz w:val="30"/>
          <w:szCs w:val="30"/>
          <w:lang w:val="fr-FR"/>
        </w:rPr>
        <w:t>Trajectoires de Divergence US/Europe 2024–2030</w:t>
      </w:r>
    </w:p>
    <w:p w14:paraId="47BB29FA" w14:textId="77777777" w:rsidR="002267BB" w:rsidRPr="0088580B" w:rsidRDefault="00000000">
      <w:pPr>
        <w:spacing w:before="200" w:after="100"/>
        <w:jc w:val="center"/>
        <w:rPr>
          <w:lang w:val="fr-FR"/>
        </w:rPr>
      </w:pPr>
      <w:r>
        <w:rPr>
          <w:rFonts w:ascii="Calibri" w:eastAsia="Calibri" w:hAnsi="Calibri" w:cs="Calibri"/>
          <w:i/>
          <w:iCs/>
          <w:color w:val="2E86C1"/>
          <w:sz w:val="26"/>
          <w:szCs w:val="26"/>
          <w:lang w:val="fr-FR"/>
        </w:rPr>
        <w:t>Analyse Géostratégique et Économique Intégrée</w:t>
      </w:r>
    </w:p>
    <w:p w14:paraId="72462BFE" w14:textId="77777777" w:rsidR="002267BB" w:rsidRPr="0088580B" w:rsidRDefault="00000000">
      <w:pPr>
        <w:spacing w:before="400"/>
        <w:jc w:val="center"/>
        <w:rPr>
          <w:lang w:val="fr-FR"/>
        </w:rPr>
      </w:pPr>
      <w:r>
        <w:rPr>
          <w:lang w:val="fr-FR"/>
        </w:rPr>
        <w:t>Conclusion</w:t>
      </w:r>
    </w:p>
    <w:p w14:paraId="091296C1" w14:textId="77777777" w:rsidR="002267BB" w:rsidRPr="0088580B" w:rsidRDefault="00000000">
      <w:pPr>
        <w:spacing w:before="400" w:after="80"/>
        <w:jc w:val="center"/>
        <w:rPr>
          <w:lang w:val="fr-FR"/>
        </w:rPr>
      </w:pPr>
      <w:r>
        <w:rPr>
          <w:rFonts w:ascii="Calibri" w:eastAsia="Calibri" w:hAnsi="Calibri" w:cs="Calibri"/>
          <w:b/>
          <w:bCs/>
          <w:color w:val="0B1929"/>
          <w:sz w:val="36"/>
          <w:szCs w:val="36"/>
          <w:lang w:val="fr-FR"/>
        </w:rPr>
        <w:t>Fabrice Pizzi</w:t>
      </w:r>
    </w:p>
    <w:p w14:paraId="292E17BF" w14:textId="77777777" w:rsidR="002267BB" w:rsidRPr="0088580B" w:rsidRDefault="00000000">
      <w:pPr>
        <w:spacing w:before="80" w:after="80"/>
        <w:jc w:val="center"/>
        <w:rPr>
          <w:lang w:val="fr-FR"/>
        </w:rPr>
      </w:pPr>
      <w:r>
        <w:rPr>
          <w:rFonts w:ascii="Calibri" w:eastAsia="Calibri" w:hAnsi="Calibri" w:cs="Calibri"/>
          <w:color w:val="2E86C1"/>
          <w:sz w:val="28"/>
          <w:szCs w:val="28"/>
          <w:lang w:val="fr-FR"/>
        </w:rPr>
        <w:t>Université Sorbonne</w:t>
      </w:r>
    </w:p>
    <w:p w14:paraId="6851C59D" w14:textId="77777777" w:rsidR="002267BB" w:rsidRPr="0088580B" w:rsidRDefault="00000000">
      <w:pPr>
        <w:spacing w:before="80" w:after="80"/>
        <w:jc w:val="center"/>
        <w:rPr>
          <w:lang w:val="fr-FR"/>
        </w:rPr>
      </w:pPr>
      <w:r>
        <w:rPr>
          <w:rFonts w:ascii="Calibri" w:eastAsia="Calibri" w:hAnsi="Calibri" w:cs="Calibri"/>
          <w:i/>
          <w:iCs/>
          <w:color w:val="6B7B8D"/>
          <w:sz w:val="24"/>
          <w:szCs w:val="24"/>
          <w:lang w:val="fr-FR"/>
        </w:rPr>
        <w:t>Master Intelligence Économique — Intelligence Warfare</w:t>
      </w:r>
    </w:p>
    <w:p w14:paraId="584AA867" w14:textId="77777777" w:rsidR="0088580B" w:rsidRPr="00BF1FE9" w:rsidRDefault="0088580B" w:rsidP="0088580B">
      <w:pPr>
        <w:spacing w:before="400"/>
        <w:jc w:val="both"/>
        <w:rPr>
          <w:sz w:val="4"/>
          <w:szCs w:val="4"/>
        </w:rPr>
      </w:pPr>
    </w:p>
    <w:p w14:paraId="432B5707" w14:textId="77777777" w:rsidR="0088580B" w:rsidRPr="0088580B" w:rsidRDefault="0088580B" w:rsidP="0088580B">
      <w:pPr>
        <w:shd w:val="clear" w:color="auto" w:fill="F0F3F6"/>
        <w:spacing w:before="200" w:after="120"/>
        <w:ind w:left="1440" w:right="1440"/>
        <w:jc w:val="both"/>
        <w:rPr>
          <w:lang w:val="fr-FR"/>
        </w:rPr>
      </w:pPr>
      <w:r>
        <w:rPr>
          <w:sz w:val="16"/>
          <w:szCs w:val="16"/>
          <w:lang w:val="fr-FR"/>
        </w:rPr>
        <w:t xml:space="preserve"> </w:t>
      </w:r>
    </w:p>
    <w:p w14:paraId="70B678B0" w14:textId="77777777" w:rsidR="0088580B" w:rsidRPr="0088580B" w:rsidRDefault="0088580B" w:rsidP="0088580B">
      <w:pPr>
        <w:shd w:val="clear" w:color="auto" w:fill="F0F3F6"/>
        <w:ind w:left="1440" w:right="1440"/>
        <w:jc w:val="both"/>
        <w:rPr>
          <w:lang w:val="fr-FR"/>
        </w:rPr>
      </w:pPr>
      <w:r>
        <w:rPr>
          <w:rFonts w:ascii="Calibri" w:eastAsia="Calibri" w:hAnsi="Calibri" w:cs="Calibri"/>
          <w:b/>
          <w:bCs/>
          <w:color w:val="C0392B"/>
          <w:sz w:val="36"/>
          <w:szCs w:val="36"/>
          <w:lang w:val="fr-FR"/>
        </w:rPr>
        <w:t>77%</w:t>
      </w:r>
      <w:r>
        <w:rPr>
          <w:rFonts w:ascii="Calibri" w:eastAsia="Calibri" w:hAnsi="Calibri" w:cs="Calibri"/>
          <w:color w:val="6B7B8D"/>
          <w:sz w:val="20"/>
          <w:szCs w:val="20"/>
          <w:lang w:val="fr-FR"/>
        </w:rPr>
        <w:t xml:space="preserve"> compute IA mondial = USA     </w:t>
      </w:r>
      <w:r>
        <w:rPr>
          <w:rFonts w:ascii="Calibri" w:eastAsia="Calibri" w:hAnsi="Calibri" w:cs="Calibri"/>
          <w:b/>
          <w:bCs/>
          <w:color w:val="C0392B"/>
          <w:sz w:val="36"/>
          <w:szCs w:val="36"/>
          <w:lang w:val="fr-FR"/>
        </w:rPr>
        <w:t>1.6×</w:t>
      </w:r>
      <w:r>
        <w:rPr>
          <w:rFonts w:ascii="Calibri" w:eastAsia="Calibri" w:hAnsi="Calibri" w:cs="Calibri"/>
          <w:color w:val="6B7B8D"/>
          <w:sz w:val="20"/>
          <w:szCs w:val="20"/>
          <w:lang w:val="fr-FR"/>
        </w:rPr>
        <w:t xml:space="preserve"> coût énergie EU/US     </w:t>
      </w:r>
      <w:r>
        <w:rPr>
          <w:rFonts w:ascii="Calibri" w:eastAsia="Calibri" w:hAnsi="Calibri" w:cs="Calibri"/>
          <w:b/>
          <w:bCs/>
          <w:color w:val="2E86C1"/>
          <w:sz w:val="36"/>
          <w:szCs w:val="36"/>
          <w:lang w:val="fr-FR"/>
        </w:rPr>
        <w:t>3.4:1</w:t>
      </w:r>
      <w:r>
        <w:rPr>
          <w:rFonts w:ascii="Calibri" w:eastAsia="Calibri" w:hAnsi="Calibri" w:cs="Calibri"/>
          <w:color w:val="6B7B8D"/>
          <w:sz w:val="20"/>
          <w:szCs w:val="20"/>
          <w:lang w:val="fr-FR"/>
        </w:rPr>
        <w:t xml:space="preserve"> ratio CACI US/EU (mode Power)</w:t>
      </w:r>
    </w:p>
    <w:p w14:paraId="2340ED47" w14:textId="77777777" w:rsidR="0088580B" w:rsidRPr="0088580B" w:rsidRDefault="0088580B" w:rsidP="0088580B">
      <w:pPr>
        <w:shd w:val="clear" w:color="auto" w:fill="F0F3F6"/>
        <w:spacing w:after="120"/>
        <w:ind w:left="1440" w:right="1440"/>
        <w:jc w:val="both"/>
        <w:rPr>
          <w:lang w:val="fr-FR"/>
        </w:rPr>
      </w:pPr>
      <w:r>
        <w:rPr>
          <w:sz w:val="16"/>
          <w:szCs w:val="16"/>
          <w:lang w:val="fr-FR"/>
        </w:rPr>
        <w:t xml:space="preserve"> </w:t>
      </w:r>
    </w:p>
    <w:p w14:paraId="119383CB" w14:textId="77777777" w:rsidR="002267BB" w:rsidRPr="0088580B" w:rsidRDefault="00000000">
      <w:pPr>
        <w:spacing w:before="200" w:after="80"/>
        <w:jc w:val="center"/>
        <w:rPr>
          <w:lang w:val="fr-FR"/>
        </w:rPr>
      </w:pPr>
      <w:r>
        <w:rPr>
          <w:rFonts w:ascii="Calibri" w:eastAsia="Calibri" w:hAnsi="Calibri" w:cs="Calibri"/>
          <w:color w:val="6B7B8D"/>
          <w:sz w:val="22"/>
          <w:szCs w:val="22"/>
          <w:lang w:val="fr-FR"/>
        </w:rPr>
        <w:t>Paris — Février 2026</w:t>
      </w:r>
    </w:p>
    <w:p w14:paraId="6333C428" w14:textId="77777777" w:rsidR="002267BB" w:rsidRPr="0088580B" w:rsidRDefault="00000000">
      <w:pPr>
        <w:spacing w:before="80" w:after="80"/>
        <w:jc w:val="center"/>
        <w:rPr>
          <w:lang w:val="fr-FR"/>
        </w:rPr>
      </w:pPr>
      <w:r>
        <w:rPr>
          <w:rFonts w:ascii="Calibri" w:eastAsia="Calibri" w:hAnsi="Calibri" w:cs="Calibri"/>
          <w:i/>
          <w:iCs/>
          <w:color w:val="6B7B8D"/>
          <w:sz w:val="20"/>
          <w:szCs w:val="20"/>
          <w:lang w:val="fr-FR"/>
        </w:rPr>
        <w:t>7 chapitres  •  4 scénarios prospectifs  •  3 zones géographiques</w:t>
      </w:r>
    </w:p>
    <w:p w14:paraId="53F92253" w14:textId="77777777" w:rsidR="002267BB" w:rsidRPr="0088580B" w:rsidRDefault="002267BB">
      <w:pPr>
        <w:spacing w:before="200"/>
        <w:rPr>
          <w:lang w:val="fr-FR"/>
        </w:rPr>
      </w:pPr>
    </w:p>
    <w:p w14:paraId="17A6A44B" w14:textId="77777777" w:rsidR="002267BB" w:rsidRPr="0088580B" w:rsidRDefault="00000000">
      <w:pPr>
        <w:spacing w:before="100" w:after="80"/>
        <w:ind w:left="1440" w:right="1440"/>
        <w:jc w:val="center"/>
        <w:rPr>
          <w:lang w:val="fr-FR"/>
        </w:rPr>
      </w:pPr>
      <w:r>
        <w:rPr>
          <w:rFonts w:ascii="Calibri" w:eastAsia="Calibri" w:hAnsi="Calibri" w:cs="Calibri"/>
          <w:b/>
          <w:bCs/>
          <w:color w:val="6B7B8D"/>
          <w:sz w:val="18"/>
          <w:szCs w:val="18"/>
          <w:lang w:val="fr-FR"/>
        </w:rPr>
        <w:t xml:space="preserve">Mots-clés : </w:t>
      </w:r>
      <w:r>
        <w:rPr>
          <w:rFonts w:ascii="Calibri" w:eastAsia="Calibri" w:hAnsi="Calibri" w:cs="Calibri"/>
          <w:i/>
          <w:iCs/>
          <w:color w:val="6B7B8D"/>
          <w:sz w:val="18"/>
          <w:szCs w:val="18"/>
          <w:lang w:val="fr-FR"/>
        </w:rPr>
        <w:t>intelligence artificielle, protectionnisme technologique, semi-conducteurs, export controls, compute souverain, géopolitique de l'IA, France, États-Unis, Chine</w:t>
      </w:r>
    </w:p>
    <w:p w14:paraId="6EF9986D" w14:textId="77777777" w:rsidR="002267BB" w:rsidRPr="0088580B" w:rsidRDefault="002267BB">
      <w:pPr>
        <w:spacing w:before="400"/>
        <w:rPr>
          <w:lang w:val="fr-FR"/>
        </w:rPr>
      </w:pPr>
    </w:p>
    <w:p w14:paraId="78597CDD" w14:textId="77777777" w:rsidR="002267BB" w:rsidRPr="0088580B" w:rsidRDefault="00000000">
      <w:pPr>
        <w:shd w:val="clear" w:color="auto" w:fill="D4AC0D"/>
        <w:rPr>
          <w:lang w:val="fr-FR"/>
        </w:rPr>
        <w:sectPr w:rsidR="002267BB" w:rsidRPr="0088580B">
          <w:pgSz w:w="11906" w:h="16838"/>
          <w:pgMar w:top="1134" w:right="1134" w:bottom="1134" w:left="1134" w:header="0" w:footer="0" w:gutter="0"/>
          <w:cols w:space="720"/>
          <w:formProt w:val="0"/>
        </w:sectPr>
      </w:pPr>
      <w:r>
        <w:rPr>
          <w:sz w:val="28"/>
          <w:szCs w:val="28"/>
          <w:lang w:val="fr-FR"/>
        </w:rPr>
        <w:t xml:space="preserve"> </w:t>
      </w:r>
    </w:p>
    <w:p w14:paraId="1C182073" w14:textId="77777777" w:rsidR="002267BB" w:rsidRPr="0088580B" w:rsidRDefault="002267BB">
      <w:pPr>
        <w:spacing w:after="80"/>
        <w:rPr>
          <w:b/>
          <w:bCs/>
          <w:color w:val="2E75B6"/>
          <w:sz w:val="20"/>
          <w:szCs w:val="20"/>
          <w:lang w:val="fr-FR"/>
        </w:rPr>
      </w:pPr>
    </w:p>
    <w:p w14:paraId="64A1A07C" w14:textId="77777777" w:rsidR="002267BB" w:rsidRPr="0088580B" w:rsidRDefault="00000000">
      <w:pPr>
        <w:spacing w:after="80"/>
        <w:rPr>
          <w:b/>
          <w:bCs/>
          <w:color w:val="2E75B6"/>
          <w:sz w:val="20"/>
          <w:szCs w:val="20"/>
          <w:lang w:val="fr-FR"/>
        </w:rPr>
      </w:pPr>
      <w:r>
        <w:rPr>
          <w:b/>
          <w:bCs/>
          <w:color w:val="2E75B6"/>
          <w:sz w:val="20"/>
          <w:szCs w:val="20"/>
          <w:lang w:val="fr-FR"/>
        </w:rPr>
        <w:t>CONCLUSION GÉNÉRALE</w:t>
      </w:r>
    </w:p>
    <w:p w14:paraId="2796A48B" w14:textId="77777777" w:rsidR="002267BB" w:rsidRPr="0088580B" w:rsidRDefault="00000000">
      <w:pPr>
        <w:pStyle w:val="Titre1"/>
        <w:rPr>
          <w:lang w:val="fr-FR"/>
        </w:rPr>
      </w:pPr>
      <w:r>
        <w:rPr>
          <w:lang w:val="fr-FR"/>
        </w:rPr>
        <w:t>Du protectionnisme IA à la recomposition de l’ordre technologique mondial</w:t>
      </w:r>
    </w:p>
    <w:p w14:paraId="593326C3" w14:textId="77777777" w:rsidR="002267BB" w:rsidRPr="0088580B" w:rsidRDefault="002267BB">
      <w:pPr>
        <w:pBdr>
          <w:bottom w:val="single" w:sz="4" w:space="12" w:color="2E75B6"/>
        </w:pBdr>
        <w:spacing w:after="360"/>
        <w:rPr>
          <w:lang w:val="fr-FR"/>
        </w:rPr>
      </w:pPr>
    </w:p>
    <w:p w14:paraId="1A62DE82" w14:textId="77777777" w:rsidR="002267BB" w:rsidRPr="0088580B" w:rsidRDefault="00000000">
      <w:pPr>
        <w:pStyle w:val="Titre2"/>
        <w:rPr>
          <w:lang w:val="fr-FR"/>
        </w:rPr>
      </w:pPr>
      <w:r>
        <w:rPr>
          <w:lang w:val="fr-FR"/>
        </w:rPr>
        <w:t>1. Validation de l’hypothèse centrale</w:t>
      </w:r>
    </w:p>
    <w:p w14:paraId="5DFEE8A2" w14:textId="77777777" w:rsidR="002267BB" w:rsidRPr="0088580B" w:rsidRDefault="00000000">
      <w:pPr>
        <w:spacing w:after="160" w:line="312" w:lineRule="auto"/>
        <w:jc w:val="both"/>
        <w:rPr>
          <w:lang w:val="fr-FR"/>
        </w:rPr>
      </w:pPr>
      <w:r>
        <w:rPr>
          <w:color w:val="333333"/>
          <w:lang w:val="fr-FR"/>
        </w:rPr>
        <w:t xml:space="preserve">Cette étude partait d’une hypothèse précise : l’administration Trump 2.0 transformerait les contrôles à l’export Biden en un régime protectionniste plus large, utilisant le compute IA comme instrument de puissance économique et géopolitique — un décret implicite </w:t>
      </w:r>
      <w:r>
        <w:rPr>
          <w:b/>
          <w:bCs/>
          <w:i/>
          <w:iCs/>
          <w:color w:val="333333"/>
          <w:lang w:val="fr-FR"/>
        </w:rPr>
        <w:t>« AI for Americans First »</w:t>
      </w:r>
      <w:r>
        <w:rPr>
          <w:color w:val="333333"/>
          <w:lang w:val="fr-FR"/>
        </w:rPr>
        <w:t>. L’analyse empirique conduite sur la période 2022-2026 valide cette hypothèse de manière substantielle.</w:t>
      </w:r>
    </w:p>
    <w:p w14:paraId="172F6CAA" w14:textId="77777777" w:rsidR="002267BB" w:rsidRPr="0088580B" w:rsidRDefault="00000000">
      <w:pPr>
        <w:spacing w:after="160" w:line="312" w:lineRule="auto"/>
        <w:ind w:firstLine="360"/>
        <w:jc w:val="both"/>
        <w:rPr>
          <w:lang w:val="fr-FR"/>
        </w:rPr>
      </w:pPr>
      <w:r>
        <w:rPr>
          <w:color w:val="333333"/>
          <w:lang w:val="fr-FR"/>
        </w:rPr>
        <w:t>Le 15 janvier 2026, l’administration Trump a simultanément promulgué un tarif de 25 % (Section 232) sur les semi-conducteurs IA avancés (Nvidia H200, AMD MI325X) pour les réexportations vers la Chine, et publié la règle finale BIS régissant les exportations de puces IA. La combinaison tarifs + contrôles à l’export constitue précisément le mécanisme hybride que nous anticipions : une « taxe » sur l’accès au compute de pointe qui génère des revenus pour le Trésor américain tout en ralentissant les concurrents, combinée à un accès domestique illimité qui renforce l’avantage compétitif des Big Tech US.</w:t>
      </w:r>
      <w:r>
        <w:rPr>
          <w:color w:val="2E75B6"/>
          <w:sz w:val="18"/>
          <w:szCs w:val="18"/>
          <w:vertAlign w:val="superscript"/>
          <w:lang w:val="fr-FR"/>
        </w:rPr>
        <w:t>1</w:t>
      </w:r>
    </w:p>
    <w:p w14:paraId="1168791F" w14:textId="77777777" w:rsidR="002267BB" w:rsidRPr="0088580B" w:rsidRDefault="00000000">
      <w:pPr>
        <w:spacing w:after="160" w:line="312" w:lineRule="auto"/>
        <w:ind w:firstLine="360"/>
        <w:jc w:val="both"/>
        <w:rPr>
          <w:lang w:val="fr-FR"/>
        </w:rPr>
      </w:pPr>
      <w:r>
        <w:rPr>
          <w:color w:val="333333"/>
          <w:lang w:val="fr-FR"/>
        </w:rPr>
        <w:t xml:space="preserve">Plus encore, l’AI Action Plan de juillet 2025 formalise une doctrine qui dépasse les simples contrôles de sécurité nationale : </w:t>
      </w:r>
      <w:r>
        <w:rPr>
          <w:i/>
          <w:iCs/>
          <w:color w:val="333333"/>
          <w:lang w:val="fr-FR"/>
        </w:rPr>
        <w:t>« exporter le stack IA complet (hardware, modèles, logiciels, applications et standards) aux pays disposés à rejoindre l’alliance IA américaine »</w:t>
      </w:r>
      <w:r>
        <w:rPr>
          <w:color w:val="333333"/>
          <w:lang w:val="fr-FR"/>
        </w:rPr>
        <w:t>, sous condition de conformité aux exigences de sécurité US.</w:t>
      </w:r>
      <w:r>
        <w:rPr>
          <w:color w:val="2E75B6"/>
          <w:sz w:val="18"/>
          <w:szCs w:val="18"/>
          <w:vertAlign w:val="superscript"/>
          <w:lang w:val="fr-FR"/>
        </w:rPr>
        <w:t>2</w:t>
      </w:r>
      <w:r>
        <w:rPr>
          <w:color w:val="333333"/>
          <w:lang w:val="fr-FR"/>
        </w:rPr>
        <w:t xml:space="preserve"> L’IA n’est plus traitée comme une technologie parmi d’autres, mais comme un </w:t>
      </w:r>
      <w:r>
        <w:rPr>
          <w:i/>
          <w:iCs/>
          <w:color w:val="333333"/>
          <w:lang w:val="fr-FR"/>
        </w:rPr>
        <w:t>instrument de projection de puissance</w:t>
      </w:r>
      <w:r>
        <w:rPr>
          <w:color w:val="333333"/>
          <w:lang w:val="fr-FR"/>
        </w:rPr>
        <w:t xml:space="preserve"> analogue au dollar dans le système monétaire ou au pétrole dans le système énergétique.</w:t>
      </w:r>
    </w:p>
    <w:p w14:paraId="6FFB590D" w14:textId="77777777" w:rsidR="002267BB" w:rsidRPr="0088580B" w:rsidRDefault="00000000">
      <w:pPr>
        <w:pStyle w:val="Titre2"/>
        <w:rPr>
          <w:lang w:val="fr-FR"/>
        </w:rPr>
      </w:pPr>
      <w:r>
        <w:rPr>
          <w:lang w:val="fr-FR"/>
        </w:rPr>
        <w:t>2. Synthèse des résultats</w:t>
      </w:r>
    </w:p>
    <w:p w14:paraId="189429CE" w14:textId="77777777" w:rsidR="002267BB" w:rsidRPr="0088580B" w:rsidRDefault="00000000">
      <w:pPr>
        <w:pStyle w:val="Titre3"/>
        <w:rPr>
          <w:lang w:val="fr-FR"/>
        </w:rPr>
      </w:pPr>
      <w:r>
        <w:rPr>
          <w:lang w:val="fr-FR"/>
        </w:rPr>
        <w:t>2.1 Un avantage compétitif américain mesurable et croissant</w:t>
      </w:r>
    </w:p>
    <w:p w14:paraId="071494D6" w14:textId="77777777" w:rsidR="002267BB" w:rsidRPr="0088580B" w:rsidRDefault="00000000">
      <w:pPr>
        <w:spacing w:after="160" w:line="312" w:lineRule="auto"/>
        <w:jc w:val="both"/>
        <w:rPr>
          <w:lang w:val="fr-FR"/>
        </w:rPr>
      </w:pPr>
      <w:r>
        <w:rPr>
          <w:color w:val="333333"/>
          <w:lang w:val="fr-FR"/>
        </w:rPr>
        <w:t xml:space="preserve">L’indice CACI (Compute-Adjusted Competitive Index) développé dans cette étude permet de quantifier l’asymétrie structurelle. Le ratio CACI(US)/CACI(EU) se situe à 3.4:1 en 2026, reflétant la concentration de 74 % du compute IA mondial aux États-Unis, un capex annuel des hyperscalers de 660-690 milliards de dollars (supérieur au PIB de la Suède), et un coût de training des modèles frontier 5 à 10 fois inférieur au coût européen. L’avantage est auto-renforçant : les entreprises disposant </w:t>
        <w:lastRenderedPageBreak/>
        <w:t>d’un accès abondant au compute captent des rentes d’innovation et de données qui sont très difficiles à rattraper ensuite (Chapitre IV).</w:t>
      </w:r>
    </w:p>
    <w:p w14:paraId="3B9E96C8" w14:textId="77777777" w:rsidR="002267BB" w:rsidRPr="0088580B" w:rsidRDefault="00000000">
      <w:pPr>
        <w:pStyle w:val="Titre3"/>
        <w:rPr>
          <w:lang w:val="fr-FR"/>
        </w:rPr>
      </w:pPr>
      <w:r>
        <w:rPr>
          <w:lang w:val="fr-FR"/>
        </w:rPr>
        <w:t>2.2 Une architecture protectionniste à trois étages</w:t>
      </w:r>
    </w:p>
    <w:p w14:paraId="4E0B439B" w14:textId="77777777" w:rsidR="002267BB" w:rsidRPr="0088580B" w:rsidRDefault="00000000">
      <w:pPr>
        <w:spacing w:after="160" w:line="312" w:lineRule="auto"/>
        <w:jc w:val="both"/>
        <w:rPr>
          <w:lang w:val="fr-FR"/>
        </w:rPr>
      </w:pPr>
      <w:r>
        <w:rPr>
          <w:color w:val="333333"/>
          <w:lang w:val="fr-FR"/>
        </w:rPr>
        <w:t>L’analyse révèle que le protectionnisme IA américain opère à trois niveaux distincts mais cumulatifs :</w:t>
      </w:r>
    </w:p>
    <w:p w14:paraId="212D800E" w14:textId="77777777" w:rsidR="002267BB" w:rsidRPr="0088580B" w:rsidRDefault="00000000">
      <w:pPr>
        <w:spacing w:after="160" w:line="312" w:lineRule="auto"/>
        <w:ind w:firstLine="360"/>
        <w:jc w:val="both"/>
        <w:rPr>
          <w:lang w:val="fr-FR"/>
        </w:rPr>
      </w:pPr>
      <w:r>
        <w:rPr>
          <w:b/>
          <w:bCs/>
          <w:color w:val="333333"/>
          <w:lang w:val="fr-FR"/>
        </w:rPr>
        <w:t>Premier étage : les contrôles à l’export (hérités de Biden, maintenus et transformés par Trump).</w:t>
      </w:r>
      <w:r>
        <w:rPr>
          <w:color w:val="333333"/>
          <w:lang w:val="fr-FR"/>
        </w:rPr>
        <w:t xml:space="preserve"> Le système de tiers (Tier 1/2/3) segmente le monde en fonction de l’alignement géopolitique : accès libre pour les alliés proches (20 pays), caps quantitatifs pour le reste du monde, interdiction pour les adversaires (Chine, Russie). Même après l’abrogation formelle de l’AI Diffusion Rule en mai 2025, l’incertitude réglementaire pèse sur les décisions d’investissement des pays Tier 2 (Chapitre III).</w:t>
      </w:r>
    </w:p>
    <w:p w14:paraId="69965E64" w14:textId="77777777" w:rsidR="002267BB" w:rsidRPr="0088580B" w:rsidRDefault="00000000">
      <w:pPr>
        <w:spacing w:after="160" w:line="312" w:lineRule="auto"/>
        <w:ind w:firstLine="360"/>
        <w:jc w:val="both"/>
        <w:rPr>
          <w:lang w:val="fr-FR"/>
        </w:rPr>
      </w:pPr>
      <w:r>
        <w:rPr>
          <w:b/>
          <w:bCs/>
          <w:color w:val="333333"/>
          <w:lang w:val="fr-FR"/>
        </w:rPr>
        <w:t>Deuxième étage : les tarifs douaniers (innovation Trump).</w:t>
      </w:r>
      <w:r>
        <w:rPr>
          <w:color w:val="333333"/>
          <w:lang w:val="fr-FR"/>
        </w:rPr>
        <w:t xml:space="preserve"> Le tarif de 25 % sur les semi-conducteurs IA avancés (Section 232, janvier 2026) constitue une rupture : les contrôles à l’export visaient la sécurité nationale, les tarifs visent explicitement les revenus et l’avantage concurrentiel. La combinaison tarifs + exemptions domestiques crée un différentiel de coût direct entre entreprises américaines et non-américaines (Chapitre V).</w:t>
      </w:r>
    </w:p>
    <w:p w14:paraId="48B02334" w14:textId="77777777" w:rsidR="002267BB" w:rsidRPr="0088580B" w:rsidRDefault="00000000">
      <w:pPr>
        <w:spacing w:after="160" w:line="312" w:lineRule="auto"/>
        <w:ind w:firstLine="360"/>
        <w:jc w:val="both"/>
        <w:rPr>
          <w:lang w:val="fr-FR"/>
        </w:rPr>
      </w:pPr>
      <w:r>
        <w:rPr>
          <w:b/>
          <w:bCs/>
          <w:color w:val="333333"/>
          <w:lang w:val="fr-FR"/>
        </w:rPr>
        <w:t>Troisième étage : la gravité capitalistique.</w:t>
      </w:r>
      <w:r>
        <w:rPr>
          <w:color w:val="333333"/>
          <w:lang w:val="fr-FR"/>
        </w:rPr>
        <w:t xml:space="preserve"> La concentration du capex (660-690 milliards de dollars chez cinq entreprises en 2026), combinée à l’accès énergétique (les États-Unis acceptent un recours accru aux fossiles, 53,7 GW de capacité DC installée), crée un effet gravitationnel : les investissements japonais (550 milliards), des Émirats, de SoftBank/Stargate convergent vers le sol américain, renforçant le hub compute sans intervention réglementaire supplémentaire (Chapitre VI ter).</w:t>
      </w:r>
    </w:p>
    <w:p w14:paraId="28436BEA" w14:textId="77777777" w:rsidR="002267BB" w:rsidRDefault="00000000">
      <w:pPr>
        <w:pStyle w:val="Titre3"/>
      </w:pPr>
      <w:r>
        <w:t>2.3 Conséquences différenciées par région</w:t>
      </w:r>
    </w:p>
    <w:p w14:paraId="3D8FCAAC" w14:textId="77777777" w:rsidR="002267BB" w:rsidRDefault="002267BB">
      <w:pPr>
        <w:spacing w:after="80"/>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600"/>
        <w:gridCol w:w="2399"/>
        <w:gridCol w:w="2413"/>
        <w:gridCol w:w="2414"/>
      </w:tblGrid>
      <w:tr w:rsidR="002267BB" w14:paraId="5A980EDE" w14:textId="77777777">
        <w:tc>
          <w:tcPr>
            <w:tcW w:w="1600" w:type="dxa"/>
            <w:tcBorders>
              <w:top w:val="single" w:sz="2" w:space="0" w:color="CCCCCC"/>
              <w:left w:val="single" w:sz="2" w:space="0" w:color="CCCCCC"/>
              <w:bottom w:val="single" w:sz="2" w:space="0" w:color="CCCCCC"/>
              <w:right w:val="single" w:sz="2" w:space="0" w:color="CCCCCC"/>
            </w:tcBorders>
            <w:shd w:val="clear" w:color="auto" w:fill="1B3A5C"/>
          </w:tcPr>
          <w:p w14:paraId="505EFA15" w14:textId="77777777" w:rsidR="002267BB" w:rsidRDefault="00000000">
            <w:r>
              <w:rPr>
                <w:b/>
                <w:bCs/>
                <w:color w:val="FFFFFF"/>
                <w:sz w:val="20"/>
                <w:szCs w:val="20"/>
              </w:rPr>
              <w:t>Région</w:t>
            </w:r>
          </w:p>
        </w:tc>
        <w:tc>
          <w:tcPr>
            <w:tcW w:w="2399" w:type="dxa"/>
            <w:tcBorders>
              <w:top w:val="single" w:sz="2" w:space="0" w:color="CCCCCC"/>
              <w:left w:val="single" w:sz="2" w:space="0" w:color="CCCCCC"/>
              <w:bottom w:val="single" w:sz="2" w:space="0" w:color="CCCCCC"/>
              <w:right w:val="single" w:sz="2" w:space="0" w:color="CCCCCC"/>
            </w:tcBorders>
            <w:shd w:val="clear" w:color="auto" w:fill="1B3A5C"/>
          </w:tcPr>
          <w:p w14:paraId="66ACCA0C" w14:textId="77777777" w:rsidR="002267BB" w:rsidRDefault="00000000">
            <w:r>
              <w:rPr>
                <w:b/>
                <w:bCs/>
                <w:color w:val="FFFFFF"/>
                <w:sz w:val="20"/>
                <w:szCs w:val="20"/>
              </w:rPr>
              <w:t>Position structurelle</w:t>
            </w:r>
          </w:p>
        </w:tc>
        <w:tc>
          <w:tcPr>
            <w:tcW w:w="2413" w:type="dxa"/>
            <w:tcBorders>
              <w:top w:val="single" w:sz="2" w:space="0" w:color="CCCCCC"/>
              <w:left w:val="single" w:sz="2" w:space="0" w:color="CCCCCC"/>
              <w:bottom w:val="single" w:sz="2" w:space="0" w:color="CCCCCC"/>
              <w:right w:val="single" w:sz="2" w:space="0" w:color="CCCCCC"/>
            </w:tcBorders>
            <w:shd w:val="clear" w:color="auto" w:fill="1B3A5C"/>
          </w:tcPr>
          <w:p w14:paraId="0DD02712" w14:textId="77777777" w:rsidR="002267BB" w:rsidRDefault="00000000">
            <w:r>
              <w:rPr>
                <w:b/>
                <w:bCs/>
                <w:color w:val="FFFFFF"/>
                <w:sz w:val="20"/>
                <w:szCs w:val="20"/>
              </w:rPr>
              <w:t>Impact principal</w:t>
            </w:r>
          </w:p>
        </w:tc>
        <w:tc>
          <w:tcPr>
            <w:tcW w:w="2414" w:type="dxa"/>
            <w:tcBorders>
              <w:top w:val="single" w:sz="2" w:space="0" w:color="CCCCCC"/>
              <w:left w:val="single" w:sz="2" w:space="0" w:color="CCCCCC"/>
              <w:bottom w:val="single" w:sz="2" w:space="0" w:color="CCCCCC"/>
              <w:right w:val="single" w:sz="2" w:space="0" w:color="CCCCCC"/>
            </w:tcBorders>
            <w:shd w:val="clear" w:color="auto" w:fill="1B3A5C"/>
          </w:tcPr>
          <w:p w14:paraId="0577A8EC" w14:textId="77777777" w:rsidR="002267BB" w:rsidRDefault="00000000">
            <w:r>
              <w:rPr>
                <w:b/>
                <w:bCs/>
                <w:color w:val="FFFFFF"/>
                <w:sz w:val="20"/>
                <w:szCs w:val="20"/>
              </w:rPr>
              <w:t>Risque spécifique</w:t>
            </w:r>
          </w:p>
        </w:tc>
      </w:tr>
      <w:tr w:rsidR="002267BB" w:rsidRPr="0088580B" w14:paraId="4042E2FC" w14:textId="77777777">
        <w:tc>
          <w:tcPr>
            <w:tcW w:w="1600" w:type="dxa"/>
            <w:tcBorders>
              <w:top w:val="single" w:sz="2" w:space="0" w:color="CCCCCC"/>
              <w:left w:val="single" w:sz="2" w:space="0" w:color="CCCCCC"/>
              <w:bottom w:val="single" w:sz="2" w:space="0" w:color="CCCCCC"/>
              <w:right w:val="single" w:sz="2" w:space="0" w:color="CCCCCC"/>
            </w:tcBorders>
          </w:tcPr>
          <w:p w14:paraId="167F5024" w14:textId="77777777" w:rsidR="002267BB" w:rsidRDefault="00000000">
            <w:pPr>
              <w:spacing w:after="40" w:line="276" w:lineRule="auto"/>
            </w:pPr>
            <w:r>
              <w:rPr>
                <w:b/>
                <w:bCs/>
                <w:color w:val="333333"/>
                <w:sz w:val="20"/>
                <w:szCs w:val="20"/>
              </w:rPr>
              <w:t>Europe/France</w:t>
            </w:r>
          </w:p>
        </w:tc>
        <w:tc>
          <w:tcPr>
            <w:tcW w:w="2399" w:type="dxa"/>
            <w:tcBorders>
              <w:top w:val="single" w:sz="2" w:space="0" w:color="CCCCCC"/>
              <w:left w:val="single" w:sz="2" w:space="0" w:color="CCCCCC"/>
              <w:bottom w:val="single" w:sz="2" w:space="0" w:color="CCCCCC"/>
              <w:right w:val="single" w:sz="2" w:space="0" w:color="CCCCCC"/>
            </w:tcBorders>
          </w:tcPr>
          <w:p w14:paraId="2D32215D" w14:textId="77777777" w:rsidR="002267BB" w:rsidRPr="0088580B" w:rsidRDefault="00000000">
            <w:pPr>
              <w:spacing w:after="40" w:line="276" w:lineRule="auto"/>
              <w:rPr>
                <w:lang w:val="fr-FR"/>
              </w:rPr>
            </w:pPr>
            <w:r>
              <w:rPr>
                <w:color w:val="333333"/>
                <w:sz w:val="20"/>
                <w:szCs w:val="20"/>
                <w:lang w:val="fr-FR"/>
              </w:rPr>
              <w:t>Tier 1, dépendante GPU+cloud US (72-80 %)</w:t>
            </w:r>
          </w:p>
        </w:tc>
        <w:tc>
          <w:tcPr>
            <w:tcW w:w="2413" w:type="dxa"/>
            <w:tcBorders>
              <w:top w:val="single" w:sz="2" w:space="0" w:color="CCCCCC"/>
              <w:left w:val="single" w:sz="2" w:space="0" w:color="CCCCCC"/>
              <w:bottom w:val="single" w:sz="2" w:space="0" w:color="CCCCCC"/>
              <w:right w:val="single" w:sz="2" w:space="0" w:color="CCCCCC"/>
            </w:tcBorders>
          </w:tcPr>
          <w:p w14:paraId="7736ADAC" w14:textId="77777777" w:rsidR="002267BB" w:rsidRDefault="00000000">
            <w:pPr>
              <w:spacing w:after="40" w:line="276" w:lineRule="auto"/>
            </w:pPr>
            <w:r>
              <w:rPr>
                <w:color w:val="333333"/>
                <w:sz w:val="20"/>
                <w:szCs w:val="20"/>
              </w:rPr>
              <w:t>Compute gap x7-12, coûts training x5-10</w:t>
            </w:r>
          </w:p>
        </w:tc>
        <w:tc>
          <w:tcPr>
            <w:tcW w:w="2414" w:type="dxa"/>
            <w:tcBorders>
              <w:top w:val="single" w:sz="2" w:space="0" w:color="CCCCCC"/>
              <w:left w:val="single" w:sz="2" w:space="0" w:color="CCCCCC"/>
              <w:bottom w:val="single" w:sz="2" w:space="0" w:color="CCCCCC"/>
              <w:right w:val="single" w:sz="2" w:space="0" w:color="CCCCCC"/>
            </w:tcBorders>
          </w:tcPr>
          <w:p w14:paraId="07B184DE" w14:textId="77777777" w:rsidR="002267BB" w:rsidRPr="0088580B" w:rsidRDefault="00000000">
            <w:pPr>
              <w:spacing w:after="40" w:line="276" w:lineRule="auto"/>
              <w:rPr>
                <w:lang w:val="fr-FR"/>
              </w:rPr>
            </w:pPr>
            <w:r>
              <w:rPr>
                <w:color w:val="333333"/>
                <w:sz w:val="20"/>
                <w:szCs w:val="20"/>
                <w:lang w:val="fr-FR"/>
              </w:rPr>
              <w:t>Vendor lock-in géopolitique, marginalisation si bloc US-Asie se ferme</w:t>
            </w:r>
          </w:p>
        </w:tc>
      </w:tr>
      <w:tr w:rsidR="002267BB" w:rsidRPr="0088580B" w14:paraId="1DC1EBDD" w14:textId="77777777">
        <w:tc>
          <w:tcPr>
            <w:tcW w:w="1600" w:type="dxa"/>
            <w:tcBorders>
              <w:top w:val="single" w:sz="2" w:space="0" w:color="CCCCCC"/>
              <w:left w:val="single" w:sz="2" w:space="0" w:color="CCCCCC"/>
              <w:bottom w:val="single" w:sz="2" w:space="0" w:color="CCCCCC"/>
              <w:right w:val="single" w:sz="2" w:space="0" w:color="CCCCCC"/>
            </w:tcBorders>
          </w:tcPr>
          <w:p w14:paraId="610AA913" w14:textId="77777777" w:rsidR="002267BB" w:rsidRDefault="00000000">
            <w:pPr>
              <w:spacing w:after="40" w:line="276" w:lineRule="auto"/>
            </w:pPr>
            <w:r>
              <w:rPr>
                <w:b/>
                <w:bCs/>
                <w:color w:val="333333"/>
                <w:sz w:val="20"/>
                <w:szCs w:val="20"/>
              </w:rPr>
              <w:t>Am. du Sud / Brésil</w:t>
            </w:r>
          </w:p>
        </w:tc>
        <w:tc>
          <w:tcPr>
            <w:tcW w:w="2399" w:type="dxa"/>
            <w:tcBorders>
              <w:top w:val="single" w:sz="2" w:space="0" w:color="CCCCCC"/>
              <w:left w:val="single" w:sz="2" w:space="0" w:color="CCCCCC"/>
              <w:bottom w:val="single" w:sz="2" w:space="0" w:color="CCCCCC"/>
              <w:right w:val="single" w:sz="2" w:space="0" w:color="CCCCCC"/>
            </w:tcBorders>
          </w:tcPr>
          <w:p w14:paraId="71051B56" w14:textId="77777777" w:rsidR="002267BB" w:rsidRPr="0088580B" w:rsidRDefault="00000000">
            <w:pPr>
              <w:spacing w:after="40" w:line="276" w:lineRule="auto"/>
              <w:rPr>
                <w:lang w:val="fr-FR"/>
              </w:rPr>
            </w:pPr>
            <w:r>
              <w:rPr>
                <w:color w:val="333333"/>
                <w:sz w:val="20"/>
                <w:szCs w:val="20"/>
                <w:lang w:val="fr-FR"/>
              </w:rPr>
              <w:t>Tier 2, terrain de compétition US-Chine</w:t>
            </w:r>
          </w:p>
        </w:tc>
        <w:tc>
          <w:tcPr>
            <w:tcW w:w="2413" w:type="dxa"/>
            <w:tcBorders>
              <w:top w:val="single" w:sz="2" w:space="0" w:color="CCCCCC"/>
              <w:left w:val="single" w:sz="2" w:space="0" w:color="CCCCCC"/>
              <w:bottom w:val="single" w:sz="2" w:space="0" w:color="CCCCCC"/>
              <w:right w:val="single" w:sz="2" w:space="0" w:color="CCCCCC"/>
            </w:tcBorders>
          </w:tcPr>
          <w:p w14:paraId="6BF69F7C" w14:textId="77777777" w:rsidR="002267BB" w:rsidRPr="0088580B" w:rsidRDefault="00000000">
            <w:pPr>
              <w:spacing w:after="40" w:line="276" w:lineRule="auto"/>
              <w:rPr>
                <w:lang w:val="fr-FR"/>
              </w:rPr>
            </w:pPr>
            <w:r>
              <w:rPr>
                <w:color w:val="333333"/>
                <w:sz w:val="20"/>
                <w:szCs w:val="20"/>
                <w:lang w:val="fr-FR"/>
              </w:rPr>
              <w:t>Bifurcation technologique, brain drain amplifié</w:t>
            </w:r>
          </w:p>
        </w:tc>
        <w:tc>
          <w:tcPr>
            <w:tcW w:w="2414" w:type="dxa"/>
            <w:tcBorders>
              <w:top w:val="single" w:sz="2" w:space="0" w:color="CCCCCC"/>
              <w:left w:val="single" w:sz="2" w:space="0" w:color="CCCCCC"/>
              <w:bottom w:val="single" w:sz="2" w:space="0" w:color="CCCCCC"/>
              <w:right w:val="single" w:sz="2" w:space="0" w:color="CCCCCC"/>
            </w:tcBorders>
          </w:tcPr>
          <w:p w14:paraId="6F5151F4" w14:textId="77777777" w:rsidR="002267BB" w:rsidRPr="0088580B" w:rsidRDefault="00000000">
            <w:pPr>
              <w:spacing w:after="40" w:line="276" w:lineRule="auto"/>
              <w:rPr>
                <w:lang w:val="fr-FR"/>
              </w:rPr>
            </w:pPr>
            <w:r>
              <w:rPr>
                <w:color w:val="333333"/>
                <w:sz w:val="20"/>
                <w:szCs w:val="20"/>
                <w:lang w:val="fr-FR"/>
              </w:rPr>
              <w:t>Triple fracture (Nord-Sud, Est-Ouest, intra-régionale)</w:t>
            </w:r>
          </w:p>
        </w:tc>
      </w:tr>
      <w:tr w:rsidR="002267BB" w:rsidRPr="0088580B" w14:paraId="67F0B3CB" w14:textId="77777777">
        <w:tc>
          <w:tcPr>
            <w:tcW w:w="1600" w:type="dxa"/>
            <w:tcBorders>
              <w:top w:val="single" w:sz="2" w:space="0" w:color="CCCCCC"/>
              <w:left w:val="single" w:sz="2" w:space="0" w:color="CCCCCC"/>
              <w:bottom w:val="single" w:sz="2" w:space="0" w:color="CCCCCC"/>
              <w:right w:val="single" w:sz="2" w:space="0" w:color="CCCCCC"/>
            </w:tcBorders>
          </w:tcPr>
          <w:p w14:paraId="33823841" w14:textId="77777777" w:rsidR="002267BB" w:rsidRDefault="00000000">
            <w:pPr>
              <w:spacing w:after="40" w:line="276" w:lineRule="auto"/>
            </w:pPr>
            <w:r>
              <w:rPr>
                <w:b/>
                <w:bCs/>
                <w:color w:val="333333"/>
                <w:sz w:val="20"/>
                <w:szCs w:val="20"/>
              </w:rPr>
              <w:t>Japon / Corée / Taiwan</w:t>
            </w:r>
          </w:p>
        </w:tc>
        <w:tc>
          <w:tcPr>
            <w:tcW w:w="2399" w:type="dxa"/>
            <w:tcBorders>
              <w:top w:val="single" w:sz="2" w:space="0" w:color="CCCCCC"/>
              <w:left w:val="single" w:sz="2" w:space="0" w:color="CCCCCC"/>
              <w:bottom w:val="single" w:sz="2" w:space="0" w:color="CCCCCC"/>
              <w:right w:val="single" w:sz="2" w:space="0" w:color="CCCCCC"/>
            </w:tcBorders>
          </w:tcPr>
          <w:p w14:paraId="25B4ED95" w14:textId="77777777" w:rsidR="002267BB" w:rsidRPr="0088580B" w:rsidRDefault="00000000">
            <w:pPr>
              <w:spacing w:after="40" w:line="276" w:lineRule="auto"/>
              <w:rPr>
                <w:lang w:val="fr-FR"/>
              </w:rPr>
            </w:pPr>
            <w:r>
              <w:rPr>
                <w:color w:val="333333"/>
                <w:sz w:val="20"/>
                <w:szCs w:val="20"/>
                <w:lang w:val="fr-FR"/>
              </w:rPr>
              <w:t>Tier 1, maillons critiques chaîne de valeur</w:t>
            </w:r>
          </w:p>
        </w:tc>
        <w:tc>
          <w:tcPr>
            <w:tcW w:w="2413" w:type="dxa"/>
            <w:tcBorders>
              <w:top w:val="single" w:sz="2" w:space="0" w:color="CCCCCC"/>
              <w:left w:val="single" w:sz="2" w:space="0" w:color="CCCCCC"/>
              <w:bottom w:val="single" w:sz="2" w:space="0" w:color="CCCCCC"/>
              <w:right w:val="single" w:sz="2" w:space="0" w:color="CCCCCC"/>
            </w:tcBorders>
          </w:tcPr>
          <w:p w14:paraId="290B2A0C" w14:textId="77777777" w:rsidR="002267BB" w:rsidRDefault="00000000">
            <w:pPr>
              <w:spacing w:after="40" w:line="276" w:lineRule="auto"/>
            </w:pPr>
            <w:r>
              <w:rPr>
                <w:color w:val="333333"/>
                <w:sz w:val="20"/>
                <w:szCs w:val="20"/>
              </w:rPr>
              <w:t>Co-financement suprématie US (550 Md$), transfert production</w:t>
            </w:r>
          </w:p>
        </w:tc>
        <w:tc>
          <w:tcPr>
            <w:tcW w:w="2414" w:type="dxa"/>
            <w:tcBorders>
              <w:top w:val="single" w:sz="2" w:space="0" w:color="CCCCCC"/>
              <w:left w:val="single" w:sz="2" w:space="0" w:color="CCCCCC"/>
              <w:bottom w:val="single" w:sz="2" w:space="0" w:color="CCCCCC"/>
              <w:right w:val="single" w:sz="2" w:space="0" w:color="CCCCCC"/>
            </w:tcBorders>
          </w:tcPr>
          <w:p w14:paraId="2C58DBB0" w14:textId="77777777" w:rsidR="002267BB" w:rsidRPr="0088580B" w:rsidRDefault="00000000">
            <w:pPr>
              <w:spacing w:after="40" w:line="276" w:lineRule="auto"/>
              <w:rPr>
                <w:lang w:val="fr-FR"/>
              </w:rPr>
            </w:pPr>
            <w:r>
              <w:rPr>
                <w:color w:val="333333"/>
                <w:sz w:val="20"/>
                <w:szCs w:val="20"/>
                <w:lang w:val="fr-FR"/>
              </w:rPr>
              <w:t>Partenariat asymétrique, érosion avantage Taiwan</w:t>
            </w:r>
          </w:p>
        </w:tc>
      </w:tr>
      <w:tr w:rsidR="002267BB" w:rsidRPr="0088580B" w14:paraId="3920CB6F" w14:textId="77777777">
        <w:tc>
          <w:tcPr>
            <w:tcW w:w="1600" w:type="dxa"/>
            <w:tcBorders>
              <w:top w:val="single" w:sz="2" w:space="0" w:color="CCCCCC"/>
              <w:left w:val="single" w:sz="2" w:space="0" w:color="CCCCCC"/>
              <w:bottom w:val="single" w:sz="2" w:space="0" w:color="CCCCCC"/>
              <w:right w:val="single" w:sz="2" w:space="0" w:color="CCCCCC"/>
            </w:tcBorders>
          </w:tcPr>
          <w:p w14:paraId="182E702E" w14:textId="77777777" w:rsidR="002267BB" w:rsidRDefault="00000000">
            <w:pPr>
              <w:spacing w:after="40" w:line="276" w:lineRule="auto"/>
            </w:pPr>
            <w:r>
              <w:rPr>
                <w:b/>
                <w:bCs/>
                <w:color w:val="333333"/>
                <w:sz w:val="20"/>
                <w:szCs w:val="20"/>
              </w:rPr>
              <w:lastRenderedPageBreak/>
              <w:t>Inde</w:t>
            </w:r>
          </w:p>
        </w:tc>
        <w:tc>
          <w:tcPr>
            <w:tcW w:w="2399" w:type="dxa"/>
            <w:tcBorders>
              <w:top w:val="single" w:sz="2" w:space="0" w:color="CCCCCC"/>
              <w:left w:val="single" w:sz="2" w:space="0" w:color="CCCCCC"/>
              <w:bottom w:val="single" w:sz="2" w:space="0" w:color="CCCCCC"/>
              <w:right w:val="single" w:sz="2" w:space="0" w:color="CCCCCC"/>
            </w:tcBorders>
          </w:tcPr>
          <w:p w14:paraId="48924ABC" w14:textId="77777777" w:rsidR="002267BB" w:rsidRDefault="00000000">
            <w:pPr>
              <w:spacing w:after="40" w:line="276" w:lineRule="auto"/>
            </w:pPr>
            <w:r>
              <w:rPr>
                <w:color w:val="333333"/>
                <w:sz w:val="20"/>
                <w:szCs w:val="20"/>
              </w:rPr>
              <w:t>Tier 2, pivot Sud global</w:t>
            </w:r>
          </w:p>
        </w:tc>
        <w:tc>
          <w:tcPr>
            <w:tcW w:w="2413" w:type="dxa"/>
            <w:tcBorders>
              <w:top w:val="single" w:sz="2" w:space="0" w:color="CCCCCC"/>
              <w:left w:val="single" w:sz="2" w:space="0" w:color="CCCCCC"/>
              <w:bottom w:val="single" w:sz="2" w:space="0" w:color="CCCCCC"/>
              <w:right w:val="single" w:sz="2" w:space="0" w:color="CCCCCC"/>
            </w:tcBorders>
          </w:tcPr>
          <w:p w14:paraId="2F49E6B7" w14:textId="77777777" w:rsidR="002267BB" w:rsidRDefault="00000000">
            <w:pPr>
              <w:spacing w:after="40" w:line="276" w:lineRule="auto"/>
            </w:pPr>
            <w:r>
              <w:rPr>
                <w:color w:val="333333"/>
                <w:sz w:val="20"/>
                <w:szCs w:val="20"/>
              </w:rPr>
              <w:t>Tension caps GPU vs ambition hub compute</w:t>
            </w:r>
          </w:p>
        </w:tc>
        <w:tc>
          <w:tcPr>
            <w:tcW w:w="2414" w:type="dxa"/>
            <w:tcBorders>
              <w:top w:val="single" w:sz="2" w:space="0" w:color="CCCCCC"/>
              <w:left w:val="single" w:sz="2" w:space="0" w:color="CCCCCC"/>
              <w:bottom w:val="single" w:sz="2" w:space="0" w:color="CCCCCC"/>
              <w:right w:val="single" w:sz="2" w:space="0" w:color="CCCCCC"/>
            </w:tcBorders>
          </w:tcPr>
          <w:p w14:paraId="4124BAD8" w14:textId="77777777" w:rsidR="002267BB" w:rsidRPr="0088580B" w:rsidRDefault="00000000">
            <w:pPr>
              <w:spacing w:after="40" w:line="276" w:lineRule="auto"/>
              <w:rPr>
                <w:lang w:val="fr-FR"/>
              </w:rPr>
            </w:pPr>
            <w:r>
              <w:rPr>
                <w:color w:val="333333"/>
                <w:sz w:val="20"/>
                <w:szCs w:val="20"/>
                <w:lang w:val="fr-FR"/>
              </w:rPr>
              <w:t>Souveraineté applicative sans souveraineté hardware</w:t>
            </w:r>
          </w:p>
        </w:tc>
      </w:tr>
      <w:tr w:rsidR="002267BB" w:rsidRPr="0088580B" w14:paraId="23F92FBD" w14:textId="77777777">
        <w:tc>
          <w:tcPr>
            <w:tcW w:w="1600" w:type="dxa"/>
            <w:tcBorders>
              <w:top w:val="single" w:sz="2" w:space="0" w:color="CCCCCC"/>
              <w:left w:val="single" w:sz="2" w:space="0" w:color="CCCCCC"/>
              <w:bottom w:val="single" w:sz="2" w:space="0" w:color="CCCCCC"/>
              <w:right w:val="single" w:sz="2" w:space="0" w:color="CCCCCC"/>
            </w:tcBorders>
          </w:tcPr>
          <w:p w14:paraId="3A29286F" w14:textId="77777777" w:rsidR="002267BB" w:rsidRDefault="00000000">
            <w:pPr>
              <w:spacing w:after="40" w:line="276" w:lineRule="auto"/>
            </w:pPr>
            <w:r>
              <w:rPr>
                <w:b/>
                <w:bCs/>
                <w:color w:val="333333"/>
                <w:sz w:val="20"/>
                <w:szCs w:val="20"/>
              </w:rPr>
              <w:t>Chine</w:t>
            </w:r>
          </w:p>
        </w:tc>
        <w:tc>
          <w:tcPr>
            <w:tcW w:w="2399" w:type="dxa"/>
            <w:tcBorders>
              <w:top w:val="single" w:sz="2" w:space="0" w:color="CCCCCC"/>
              <w:left w:val="single" w:sz="2" w:space="0" w:color="CCCCCC"/>
              <w:bottom w:val="single" w:sz="2" w:space="0" w:color="CCCCCC"/>
              <w:right w:val="single" w:sz="2" w:space="0" w:color="CCCCCC"/>
            </w:tcBorders>
          </w:tcPr>
          <w:p w14:paraId="5800EC43" w14:textId="77777777" w:rsidR="002267BB" w:rsidRDefault="00000000">
            <w:pPr>
              <w:spacing w:after="40" w:line="276" w:lineRule="auto"/>
            </w:pPr>
            <w:r>
              <w:rPr>
                <w:color w:val="333333"/>
                <w:sz w:val="20"/>
                <w:szCs w:val="20"/>
              </w:rPr>
              <w:t>Tier 3, autonomisation forcée</w:t>
            </w:r>
          </w:p>
        </w:tc>
        <w:tc>
          <w:tcPr>
            <w:tcW w:w="2413" w:type="dxa"/>
            <w:tcBorders>
              <w:top w:val="single" w:sz="2" w:space="0" w:color="CCCCCC"/>
              <w:left w:val="single" w:sz="2" w:space="0" w:color="CCCCCC"/>
              <w:bottom w:val="single" w:sz="2" w:space="0" w:color="CCCCCC"/>
              <w:right w:val="single" w:sz="2" w:space="0" w:color="CCCCCC"/>
            </w:tcBorders>
          </w:tcPr>
          <w:p w14:paraId="36749A2F" w14:textId="77777777" w:rsidR="002267BB" w:rsidRPr="0088580B" w:rsidRDefault="00000000">
            <w:pPr>
              <w:spacing w:after="40" w:line="276" w:lineRule="auto"/>
              <w:rPr>
                <w:lang w:val="fr-FR"/>
              </w:rPr>
            </w:pPr>
            <w:r>
              <w:rPr>
                <w:color w:val="333333"/>
                <w:sz w:val="20"/>
                <w:szCs w:val="20"/>
                <w:lang w:val="fr-FR"/>
              </w:rPr>
              <w:t>Écosystème IA parallèle (Huawei/DeepSeek), retard 2-3 gén.</w:t>
            </w:r>
          </w:p>
        </w:tc>
        <w:tc>
          <w:tcPr>
            <w:tcW w:w="2414" w:type="dxa"/>
            <w:tcBorders>
              <w:top w:val="single" w:sz="2" w:space="0" w:color="CCCCCC"/>
              <w:left w:val="single" w:sz="2" w:space="0" w:color="CCCCCC"/>
              <w:bottom w:val="single" w:sz="2" w:space="0" w:color="CCCCCC"/>
              <w:right w:val="single" w:sz="2" w:space="0" w:color="CCCCCC"/>
            </w:tcBorders>
          </w:tcPr>
          <w:p w14:paraId="324BE0BB" w14:textId="77777777" w:rsidR="002267BB" w:rsidRPr="0088580B" w:rsidRDefault="00000000">
            <w:pPr>
              <w:spacing w:after="40" w:line="276" w:lineRule="auto"/>
              <w:rPr>
                <w:lang w:val="fr-FR"/>
              </w:rPr>
            </w:pPr>
            <w:r>
              <w:rPr>
                <w:color w:val="333333"/>
                <w:sz w:val="20"/>
                <w:szCs w:val="20"/>
                <w:lang w:val="fr-FR"/>
              </w:rPr>
              <w:t>Bifurcation technologique permanente, exportation Tier 2/3</w:t>
            </w:r>
          </w:p>
        </w:tc>
      </w:tr>
    </w:tbl>
    <w:p w14:paraId="29A93C47" w14:textId="77777777" w:rsidR="002267BB" w:rsidRPr="0088580B" w:rsidRDefault="002267BB">
      <w:pPr>
        <w:spacing w:after="80"/>
        <w:rPr>
          <w:lang w:val="fr-FR"/>
        </w:rPr>
      </w:pPr>
    </w:p>
    <w:p w14:paraId="5C7A48BB" w14:textId="77777777" w:rsidR="002267BB" w:rsidRPr="0088580B" w:rsidRDefault="00000000">
      <w:pPr>
        <w:spacing w:after="160" w:line="312" w:lineRule="auto"/>
        <w:rPr>
          <w:lang w:val="fr-FR"/>
        </w:rPr>
      </w:pPr>
      <w:r>
        <w:rPr>
          <w:b/>
          <w:bCs/>
          <w:color w:val="333333"/>
          <w:sz w:val="20"/>
          <w:szCs w:val="20"/>
          <w:lang w:val="fr-FR"/>
        </w:rPr>
        <w:t>Tableau 18.</w:t>
      </w:r>
      <w:r>
        <w:rPr>
          <w:i/>
          <w:iCs/>
          <w:color w:val="333333"/>
          <w:sz w:val="20"/>
          <w:szCs w:val="20"/>
          <w:lang w:val="fr-FR"/>
        </w:rPr>
        <w:t xml:space="preserve"> Synthèse des conséquences régionales du protectionnisme IA américain. Source : auteur.</w:t>
      </w:r>
    </w:p>
    <w:p w14:paraId="5A451F13" w14:textId="77777777" w:rsidR="002267BB" w:rsidRPr="0088580B" w:rsidRDefault="00000000">
      <w:pPr>
        <w:pStyle w:val="Titre2"/>
        <w:rPr>
          <w:lang w:val="fr-FR"/>
        </w:rPr>
      </w:pPr>
      <w:r>
        <w:rPr>
          <w:lang w:val="fr-FR"/>
        </w:rPr>
        <w:t>3. Contributions de cette étude</w:t>
      </w:r>
    </w:p>
    <w:p w14:paraId="28C60062" w14:textId="77777777" w:rsidR="002267BB" w:rsidRPr="0088580B" w:rsidRDefault="00000000">
      <w:pPr>
        <w:spacing w:after="160" w:line="312" w:lineRule="auto"/>
        <w:jc w:val="both"/>
        <w:rPr>
          <w:lang w:val="fr-FR"/>
        </w:rPr>
      </w:pPr>
      <w:r>
        <w:rPr>
          <w:color w:val="333333"/>
          <w:lang w:val="fr-FR"/>
        </w:rPr>
        <w:t>Cette recherche apporte quatre contributions à la littérature économique et géostratégique.</w:t>
      </w:r>
    </w:p>
    <w:p w14:paraId="4F097955" w14:textId="77777777" w:rsidR="002267BB" w:rsidRPr="0088580B" w:rsidRDefault="00000000">
      <w:pPr>
        <w:spacing w:after="160" w:line="312" w:lineRule="auto"/>
        <w:ind w:firstLine="360"/>
        <w:jc w:val="both"/>
        <w:rPr>
          <w:lang w:val="fr-FR"/>
        </w:rPr>
      </w:pPr>
      <w:r>
        <w:rPr>
          <w:b/>
          <w:bCs/>
          <w:color w:val="333333"/>
          <w:lang w:val="fr-FR"/>
        </w:rPr>
        <w:t xml:space="preserve">Premièrement, </w:t>
      </w:r>
      <w:r>
        <w:rPr>
          <w:color w:val="333333"/>
          <w:lang w:val="fr-FR"/>
        </w:rPr>
        <w:t>l’intégration analytique de trajectoires habituellement traitées séparément — énergie, semi-conducteurs, compute, régulation, productivité — dans un cadre unifié. Comme le note le diagnostic initial, l’essentiel des travaux académiques traite séparément ces dimensions ; notre analyse montre qu’elles forment un système d’interdependances où chaque contrainte amplifie les autres (l’énergie contraint le compute, le compute contraint la productivité, la productivité détermine la compétitivité).</w:t>
      </w:r>
    </w:p>
    <w:p w14:paraId="39808187" w14:textId="77777777" w:rsidR="002267BB" w:rsidRPr="0088580B" w:rsidRDefault="00000000">
      <w:pPr>
        <w:spacing w:after="160" w:line="312" w:lineRule="auto"/>
        <w:ind w:firstLine="360"/>
        <w:jc w:val="both"/>
        <w:rPr>
          <w:lang w:val="fr-FR"/>
        </w:rPr>
      </w:pPr>
      <w:r>
        <w:rPr>
          <w:b/>
          <w:bCs/>
          <w:color w:val="333333"/>
          <w:lang w:val="fr-FR"/>
        </w:rPr>
        <w:t xml:space="preserve">Deuxièmement, </w:t>
      </w:r>
      <w:r>
        <w:rPr>
          <w:color w:val="333333"/>
          <w:lang w:val="fr-FR"/>
        </w:rPr>
        <w:t>la proposition de l’indice CACI (Compute-Adjusted Competitive Index), qui offre un cadre de mesure pour comparer la compétitivité IA entre régions en intégrant FLOPs disponibles, coût énergétique, capital humain et accès réglementaire. Si cet indice reste à affiner empiriquement, il constitue une première tentative de synthétiser le concept de « compute-adjusted competitiveness » identifié comme manquant dans la littérature (Chapitre II).</w:t>
      </w:r>
    </w:p>
    <w:p w14:paraId="11F5F51B" w14:textId="77777777" w:rsidR="002267BB" w:rsidRPr="0088580B" w:rsidRDefault="00000000">
      <w:pPr>
        <w:spacing w:after="160" w:line="312" w:lineRule="auto"/>
        <w:ind w:firstLine="360"/>
        <w:jc w:val="both"/>
        <w:rPr>
          <w:lang w:val="fr-FR"/>
        </w:rPr>
      </w:pPr>
      <w:r>
        <w:rPr>
          <w:b/>
          <w:bCs/>
          <w:color w:val="333333"/>
          <w:lang w:val="fr-FR"/>
        </w:rPr>
        <w:t xml:space="preserve">Troisièmement, </w:t>
      </w:r>
      <w:r>
        <w:rPr>
          <w:color w:val="333333"/>
          <w:lang w:val="fr-FR"/>
        </w:rPr>
        <w:t>la démonstration que le protectionnisme IA américain produit des effets paradoxaux systémiques. Les restrictions destinées à maintenir l’avantage US accélèrent la construction d’un écosystème chinois alternatif (DeepSeek, Huawei Ascend), poussent les pays Tier 2 vers la Chine (ByteDance au Brésil, en ASEAN), et incitent les alliés Tier 1 à co-financer la suprématie US plutôt qu’à construire une autonomie véritable (Japon : 550 milliards vers les États-Unis). Le protectionnisme IA ne produit pas un monde unipolaire mais un monde fragmenté en blocs technologiques.</w:t>
      </w:r>
    </w:p>
    <w:p w14:paraId="23C8D737" w14:textId="77777777" w:rsidR="002267BB" w:rsidRPr="0088580B" w:rsidRDefault="00000000">
      <w:pPr>
        <w:spacing w:after="160" w:line="312" w:lineRule="auto"/>
        <w:ind w:firstLine="360"/>
        <w:jc w:val="both"/>
        <w:rPr>
          <w:lang w:val="fr-FR"/>
        </w:rPr>
      </w:pPr>
      <w:r>
        <w:rPr>
          <w:b/>
          <w:bCs/>
          <w:color w:val="333333"/>
          <w:lang w:val="fr-FR"/>
        </w:rPr>
        <w:t xml:space="preserve">Quatrièmement, </w:t>
      </w:r>
      <w:r>
        <w:rPr>
          <w:color w:val="333333"/>
          <w:lang w:val="fr-FR"/>
        </w:rPr>
        <w:t xml:space="preserve">l’analyse comparative inédite des réponses régionales au protectionnisme IA (Europe, Amérique du Sud, Asie), montrant que la position géopolitique, la dotation énergétique et la proximité avec les chaînes de valeur </w:t>
        <w:lastRenderedPageBreak/>
        <w:t>déterminent des trajectoires de dépendance fondamentalement différentes, irréductibles à un modèle unique de « rattrapage » ou de « décrochage ».</w:t>
      </w:r>
    </w:p>
    <w:p w14:paraId="6AF51A9E" w14:textId="77777777" w:rsidR="002267BB" w:rsidRPr="0088580B" w:rsidRDefault="00000000">
      <w:pPr>
        <w:pStyle w:val="Titre2"/>
        <w:rPr>
          <w:lang w:val="fr-FR"/>
        </w:rPr>
      </w:pPr>
      <w:r>
        <w:rPr>
          <w:lang w:val="fr-FR"/>
        </w:rPr>
        <w:t>4. Limites et pistes de recherche</w:t>
      </w:r>
    </w:p>
    <w:p w14:paraId="580AFDBB" w14:textId="77777777" w:rsidR="002267BB" w:rsidRPr="0088580B" w:rsidRDefault="00000000">
      <w:pPr>
        <w:spacing w:after="160" w:line="312" w:lineRule="auto"/>
        <w:jc w:val="both"/>
        <w:rPr>
          <w:lang w:val="fr-FR"/>
        </w:rPr>
      </w:pPr>
      <w:r>
        <w:rPr>
          <w:color w:val="333333"/>
          <w:lang w:val="fr-FR"/>
        </w:rPr>
        <w:t>Cette étude comporte plusieurs limites qu’il convient d’expliciter.</w:t>
      </w:r>
    </w:p>
    <w:p w14:paraId="38B4E326" w14:textId="77777777" w:rsidR="002267BB" w:rsidRPr="0088580B" w:rsidRDefault="00000000">
      <w:pPr>
        <w:spacing w:after="160" w:line="312" w:lineRule="auto"/>
        <w:ind w:firstLine="360"/>
        <w:jc w:val="both"/>
        <w:rPr>
          <w:lang w:val="fr-FR"/>
        </w:rPr>
      </w:pPr>
      <w:r>
        <w:rPr>
          <w:b/>
          <w:bCs/>
          <w:color w:val="333333"/>
          <w:lang w:val="fr-FR"/>
        </w:rPr>
        <w:t xml:space="preserve">Incertitude réglementaire. </w:t>
      </w:r>
      <w:r>
        <w:rPr>
          <w:color w:val="333333"/>
          <w:lang w:val="fr-FR"/>
        </w:rPr>
        <w:t>L’environnement des export controls évolue rapidement. L’AI Diffusion Rule de Biden a été abrogée en mai 2025 ; la règle finale Trump de janvier 2026 pourrait elle-même être modifiée (Commerce doit fournir une mise à jour au Président d’ici juillet 2026). Les scénarios proposés au Chapitre V reflètent cette incertitude, mais l’espace des possibles est plus large que les quatre scénarios formalisés.</w:t>
      </w:r>
    </w:p>
    <w:p w14:paraId="0E7AF815" w14:textId="77777777" w:rsidR="002267BB" w:rsidRPr="0088580B" w:rsidRDefault="00000000">
      <w:pPr>
        <w:spacing w:after="160" w:line="312" w:lineRule="auto"/>
        <w:ind w:firstLine="360"/>
        <w:jc w:val="both"/>
        <w:rPr>
          <w:lang w:val="fr-FR"/>
        </w:rPr>
      </w:pPr>
      <w:r>
        <w:rPr>
          <w:b/>
          <w:bCs/>
          <w:color w:val="333333"/>
          <w:lang w:val="fr-FR"/>
        </w:rPr>
        <w:t xml:space="preserve">Données fragmentaires. </w:t>
      </w:r>
      <w:r>
        <w:rPr>
          <w:color w:val="333333"/>
          <w:lang w:val="fr-FR"/>
        </w:rPr>
        <w:t>Les données de compute IA par région sont incomplètes. Les estimations de capacité de calcul (FLOPs, nombre de GPU) reposent sur des sources hétérogènes (Epoch AI, CFG, McKinsey) qui ne convergent pas toujours. Le CACI est un indice exploratoire, non un indicateur calibré sur séries temporelles longues.</w:t>
      </w:r>
    </w:p>
    <w:p w14:paraId="1E8BF7DA" w14:textId="77777777" w:rsidR="002267BB" w:rsidRPr="0088580B" w:rsidRDefault="00000000">
      <w:pPr>
        <w:spacing w:after="160" w:line="312" w:lineRule="auto"/>
        <w:ind w:firstLine="360"/>
        <w:jc w:val="both"/>
        <w:rPr>
          <w:lang w:val="fr-FR"/>
        </w:rPr>
      </w:pPr>
      <w:r>
        <w:rPr>
          <w:b/>
          <w:bCs/>
          <w:color w:val="333333"/>
          <w:lang w:val="fr-FR"/>
        </w:rPr>
        <w:t xml:space="preserve">Horizon temporel. </w:t>
      </w:r>
      <w:r>
        <w:rPr>
          <w:color w:val="333333"/>
          <w:lang w:val="fr-FR"/>
        </w:rPr>
        <w:t>L’analyse porte sur 2026-2030, mais des ruptures technologiques (quantum computing, nœuds sub-2 nm, architectures neuromorphiques) pourraient redistribuer les cartes après 2030. L’avantage actuel de Nvidia en GPU pourrait être contesté par des ASIC spécialisés (Google TPU, Amazon Trainium, Huawei Ascend) ou des architectures radicalement différentes.</w:t>
      </w:r>
    </w:p>
    <w:p w14:paraId="7AB01ED6" w14:textId="77777777" w:rsidR="002267BB" w:rsidRPr="0088580B" w:rsidRDefault="00000000">
      <w:pPr>
        <w:spacing w:after="160" w:line="312" w:lineRule="auto"/>
        <w:ind w:firstLine="360"/>
        <w:jc w:val="both"/>
        <w:rPr>
          <w:lang w:val="fr-FR"/>
        </w:rPr>
      </w:pPr>
      <w:r>
        <w:rPr>
          <w:b/>
          <w:bCs/>
          <w:color w:val="333333"/>
          <w:lang w:val="fr-FR"/>
        </w:rPr>
        <w:t xml:space="preserve">Pistes de recherche futures. </w:t>
      </w:r>
      <w:r>
        <w:rPr>
          <w:color w:val="333333"/>
          <w:lang w:val="fr-FR"/>
        </w:rPr>
        <w:t>Trois prolongements s’imposent : le calibrage empirique du CACI sur données d’enquête (productivité sectorielle par accès au compute), l’extension de l’analyse à l’Afrique (continent absent de cette étude, mais où la compétition US-Chine en infrastructure IA est croissante), et la modélisation dynamique de l’interaction énergie-compute-productivité via des modèles d’équilibre général calculable (CGE) intégrant les contraintes de compute comme facteur de production.</w:t>
      </w:r>
    </w:p>
    <w:p w14:paraId="519C043B" w14:textId="77777777" w:rsidR="002267BB" w:rsidRPr="0088580B" w:rsidRDefault="00000000">
      <w:pPr>
        <w:pStyle w:val="Titre2"/>
        <w:rPr>
          <w:lang w:val="fr-FR"/>
        </w:rPr>
      </w:pPr>
      <w:r>
        <w:rPr>
          <w:lang w:val="fr-FR"/>
        </w:rPr>
        <w:t>5. L’enjeu de civilisation</w:t>
      </w:r>
    </w:p>
    <w:p w14:paraId="695B3B73" w14:textId="77777777" w:rsidR="002267BB" w:rsidRPr="0088580B" w:rsidRDefault="00000000">
      <w:pPr>
        <w:spacing w:after="160" w:line="312" w:lineRule="auto"/>
        <w:jc w:val="both"/>
        <w:rPr>
          <w:lang w:val="fr-FR"/>
        </w:rPr>
      </w:pPr>
      <w:r>
        <w:rPr>
          <w:color w:val="333333"/>
          <w:lang w:val="fr-FR"/>
        </w:rPr>
        <w:t xml:space="preserve">Au-delà des métriques économiques et des scénarios géopolitiques, cette étude révèle un enjeu plus fondamental. Le compute IA est en passe de devenir le </w:t>
      </w:r>
      <w:r>
        <w:rPr>
          <w:i/>
          <w:iCs/>
          <w:color w:val="333333"/>
          <w:lang w:val="fr-FR"/>
        </w:rPr>
        <w:t>quatrième facteur de production</w:t>
      </w:r>
      <w:r>
        <w:rPr>
          <w:color w:val="333333"/>
          <w:lang w:val="fr-FR"/>
        </w:rPr>
        <w:t xml:space="preserve"> (après le capital, le travail et la terre/énergie), structurant l’accès aux gains de productivité, à l’innovation, et in fine à la prospérité. Comme le pétrole au XXème siècle, le contrôle du compute au XXIème siècle déterminera quelles nations et quelles entreprises captent les rentes de l’innovation.</w:t>
      </w:r>
    </w:p>
    <w:p w14:paraId="6C0499D2" w14:textId="77777777" w:rsidR="002267BB" w:rsidRPr="0088580B" w:rsidRDefault="00000000">
      <w:pPr>
        <w:spacing w:after="160" w:line="312" w:lineRule="auto"/>
        <w:ind w:firstLine="360"/>
        <w:jc w:val="both"/>
        <w:rPr>
          <w:lang w:val="fr-FR"/>
        </w:rPr>
      </w:pPr>
      <w:r>
        <w:rPr>
          <w:color w:val="333333"/>
          <w:lang w:val="fr-FR"/>
        </w:rPr>
        <w:t xml:space="preserve">Les États-Unis l’ont compris. L’AI Action Plan de juillet 2025 traite explicitement le stack IA comme un instrument d’alliance géopolitique, comparable au Plan Marshall </w:t>
        <w:lastRenderedPageBreak/>
        <w:t>ou au système de Bretton Woods : l’accès au compute américain est conditionné à l’alignement stratégique, créant un système de dépendances hiérarchisées. Carnegie note que la règle visait à « utiliser les exportations d’IA comme levier sur les États pivots géopolitiques, en établissant des incitations pour que d’autres gouvernements adoptent les standards et protections technologiques américains en échange de puces US ».</w:t>
      </w:r>
      <w:r>
        <w:rPr>
          <w:color w:val="2E75B6"/>
          <w:sz w:val="18"/>
          <w:szCs w:val="18"/>
          <w:vertAlign w:val="superscript"/>
          <w:lang w:val="fr-FR"/>
        </w:rPr>
        <w:t>3</w:t>
      </w:r>
    </w:p>
    <w:p w14:paraId="078DEE7A" w14:textId="77777777" w:rsidR="002267BB" w:rsidRPr="0088580B" w:rsidRDefault="00000000">
      <w:pPr>
        <w:spacing w:after="160" w:line="312" w:lineRule="auto"/>
        <w:ind w:firstLine="360"/>
        <w:jc w:val="both"/>
        <w:rPr>
          <w:lang w:val="fr-FR"/>
        </w:rPr>
      </w:pPr>
      <w:r>
        <w:rPr>
          <w:color w:val="333333"/>
          <w:lang w:val="fr-FR"/>
        </w:rPr>
        <w:t>Face à ce nouveau système, la France et l’Europe disposent d’un choix stratégique qui se résume, au fond, à trois options. La première est l’</w:t>
      </w:r>
      <w:r>
        <w:rPr>
          <w:i/>
          <w:iCs/>
          <w:color w:val="333333"/>
          <w:lang w:val="fr-FR"/>
        </w:rPr>
        <w:t>intégration subordonnée</w:t>
      </w:r>
      <w:r>
        <w:rPr>
          <w:color w:val="333333"/>
          <w:lang w:val="fr-FR"/>
        </w:rPr>
        <w:t xml:space="preserve"> : accepter le statut de « junior partner » technologique dans le bloc américain, comme le Japon l’a choisi en investissant 550 milliards de dollars sur le sol US. Cette option minimise le risque de rupture d’accès mais maximise la dépendance. La deuxième est la </w:t>
      </w:r>
      <w:r>
        <w:rPr>
          <w:i/>
          <w:iCs/>
          <w:color w:val="333333"/>
          <w:lang w:val="fr-FR"/>
        </w:rPr>
        <w:t>confrontation souverainiste</w:t>
      </w:r>
      <w:r>
        <w:rPr>
          <w:color w:val="333333"/>
          <w:lang w:val="fr-FR"/>
        </w:rPr>
        <w:t xml:space="preserve"> : construire un écosystème IA entièrement autonome, comme la Chine y est contrainte. Cette option est irréaliste à l’horizon 2030 pour l’Europe, qui ne dispose ni de la base industrielle de semi-conducteurs ni de la capacité de marché intérieur suffisantes.</w:t>
      </w:r>
    </w:p>
    <w:p w14:paraId="6B02620F" w14:textId="77777777" w:rsidR="002267BB" w:rsidRPr="0088580B" w:rsidRDefault="00000000">
      <w:pPr>
        <w:spacing w:after="160" w:line="312" w:lineRule="auto"/>
        <w:ind w:firstLine="360"/>
        <w:jc w:val="both"/>
        <w:rPr>
          <w:lang w:val="fr-FR"/>
        </w:rPr>
      </w:pPr>
      <w:r>
        <w:rPr>
          <w:color w:val="333333"/>
          <w:lang w:val="fr-FR"/>
        </w:rPr>
        <w:t>La troisième option — celle que cette étude recommande — est l’</w:t>
      </w:r>
      <w:r>
        <w:rPr>
          <w:i/>
          <w:iCs/>
          <w:color w:val="333333"/>
          <w:lang w:val="fr-FR"/>
        </w:rPr>
        <w:t>autonomie stratégique ciblée</w:t>
      </w:r>
      <w:r>
        <w:rPr>
          <w:color w:val="333333"/>
          <w:lang w:val="fr-FR"/>
        </w:rPr>
        <w:t xml:space="preserve">. Elle consiste à bâtir une souveraineté sur les segments où l’Europe possède un avantage comparatif (énergie nucléaire, équipements de lithographie ASML, modèles IA ouverts Mistral, cadre réglementaire AI Act) tout en maintenant l’interopérabilité avec l’écosystème américain. L’objectif n’est pas l’autarcie mais la </w:t>
      </w:r>
      <w:r>
        <w:rPr>
          <w:i/>
          <w:iCs/>
          <w:color w:val="333333"/>
          <w:lang w:val="fr-FR"/>
        </w:rPr>
        <w:t>capacité de choix</w:t>
      </w:r>
      <w:r>
        <w:rPr>
          <w:color w:val="333333"/>
          <w:lang w:val="fr-FR"/>
        </w:rPr>
        <w:t xml:space="preserve"> : disposer d’alternatives crédibles (cloud souverain, compute local, modèles ouverts) pour ne jamais être captif d’un fournisseur dont les intérêts géopolitiques pourraient diverger des nôtres.</w:t>
      </w:r>
    </w:p>
    <w:p w14:paraId="5578CBF0" w14:textId="77777777" w:rsidR="002267BB" w:rsidRPr="0088580B" w:rsidRDefault="00000000">
      <w:pPr>
        <w:spacing w:after="160" w:line="312" w:lineRule="auto"/>
        <w:jc w:val="both"/>
        <w:rPr>
          <w:lang w:val="fr-FR"/>
        </w:rPr>
      </w:pPr>
      <w:r>
        <w:rPr>
          <w:color w:val="333333"/>
          <w:lang w:val="fr-FR"/>
        </w:rPr>
        <w:t>Le temps presse. Le point de basculement énergétique et compute identifié dans cette étude se situe en 2028 : après cette date, les positions se cristallisent et les dépendances deviennent structurelles. La fenêtre d’action stratégique 2026-2028 est étroite. Les 109 milliards d’euros d’investissements IA annoncés pour la France, le programme InvestAI de 200 milliards d’euros, la montée en puissance de Mistral Compute, et les sites nucléaires EDF dédiés constituent les éléments d’une réponse. Mais entre l’annonce et l’exécution, il y a la distance qui sépare la stratégie du réel. L’Inde promet 200 milliards de dollars mais ne dispose que de 1,4 GW installé. L’Europe ne peut pas se permettre un écart comparable entre ambition et réalisation.</w:t>
      </w:r>
    </w:p>
    <w:p w14:paraId="1634A502" w14:textId="77777777" w:rsidR="002267BB" w:rsidRPr="0088580B" w:rsidRDefault="00000000">
      <w:pPr>
        <w:spacing w:after="160" w:line="312" w:lineRule="auto"/>
        <w:jc w:val="both"/>
        <w:rPr>
          <w:lang w:val="fr-FR"/>
        </w:rPr>
      </w:pPr>
      <w:r>
        <w:rPr>
          <w:color w:val="333333"/>
          <w:lang w:val="fr-FR"/>
        </w:rPr>
        <w:t xml:space="preserve">En définitive, </w:t>
      </w:r>
      <w:r>
        <w:rPr>
          <w:b/>
          <w:bCs/>
          <w:i/>
          <w:iCs/>
          <w:color w:val="333333"/>
          <w:lang w:val="fr-FR"/>
        </w:rPr>
        <w:t>« AI for Americans First »</w:t>
      </w:r>
      <w:r>
        <w:rPr>
          <w:color w:val="333333"/>
          <w:lang w:val="fr-FR"/>
        </w:rPr>
        <w:t xml:space="preserve"> n’est pas seulement un scénario de politique commerciale. C’est le signal d’une recomposition de l’ordre technologique mondial comparable aux grandes restructurations du XXème siècle — Bretton Woods, le choc pétrolier, la fin de la guerre froide. Chacune de ces ruptures a créé des gagnants et des perdants pour des décennies. La question pour la France et l’Europe n’est plus de savoir si cette recomposition aura lieu — elle est en cours — mais de déterminer si nous en serons les architectes ou les sujets.</w:t>
      </w:r>
    </w:p>
    <w:p w14:paraId="7CAB0A00" w14:textId="77777777" w:rsidR="002267BB" w:rsidRPr="0088580B" w:rsidRDefault="002267BB">
      <w:pPr>
        <w:spacing w:after="80"/>
        <w:rPr>
          <w:lang w:val="fr-FR"/>
        </w:rPr>
      </w:pPr>
    </w:p>
    <w:p w14:paraId="48AB9EC1" w14:textId="77777777" w:rsidR="002267BB" w:rsidRPr="0088580B" w:rsidRDefault="00000000">
      <w:pPr>
        <w:spacing w:after="240"/>
        <w:jc w:val="right"/>
        <w:rPr>
          <w:lang w:val="fr-FR"/>
        </w:rPr>
      </w:pPr>
      <w:r>
        <w:rPr>
          <w:i/>
          <w:iCs/>
          <w:color w:val="555555"/>
          <w:sz w:val="21"/>
          <w:szCs w:val="21"/>
          <w:lang w:val="fr-FR"/>
        </w:rPr>
        <w:t>— Fabrice, Paris, février 2026</w:t>
      </w:r>
    </w:p>
    <w:p w14:paraId="7AF63C95" w14:textId="77777777" w:rsidR="002267BB" w:rsidRPr="0088580B" w:rsidRDefault="00000000">
      <w:pPr>
        <w:rPr>
          <w:lang w:val="fr-FR"/>
        </w:rPr>
      </w:pPr>
      <w:r>
        <w:rPr>
          <w:lang w:val="fr-FR"/>
        </w:rPr>
        <w:br w:type="page"/>
      </w:r>
    </w:p>
    <w:p w14:paraId="537F249A" w14:textId="77777777" w:rsidR="002267BB" w:rsidRPr="0088580B" w:rsidRDefault="00000000">
      <w:pPr>
        <w:pBdr>
          <w:bottom w:val="single" w:sz="2" w:space="8" w:color="2E75B6"/>
        </w:pBdr>
        <w:spacing w:after="240"/>
        <w:rPr>
          <w:lang w:val="fr-FR"/>
        </w:rPr>
      </w:pPr>
      <w:r>
        <w:rPr>
          <w:b/>
          <w:bCs/>
          <w:color w:val="1B3A5C"/>
          <w:sz w:val="26"/>
          <w:szCs w:val="26"/>
          <w:lang w:val="fr-FR"/>
        </w:rPr>
        <w:lastRenderedPageBreak/>
        <w:t>Notes</w:t>
      </w:r>
    </w:p>
    <w:p w14:paraId="4FAC072E" w14:textId="77777777" w:rsidR="002267BB" w:rsidRPr="0088580B" w:rsidRDefault="00000000">
      <w:pPr>
        <w:spacing w:after="60" w:line="262" w:lineRule="auto"/>
        <w:rPr>
          <w:lang w:val="fr-FR"/>
        </w:rPr>
      </w:pPr>
      <w:r>
        <w:rPr>
          <w:color w:val="2E75B6"/>
          <w:sz w:val="18"/>
          <w:szCs w:val="18"/>
          <w:vertAlign w:val="superscript"/>
          <w:lang w:val="fr-FR"/>
        </w:rPr>
        <w:t xml:space="preserve">1 </w:t>
      </w:r>
      <w:r>
        <w:rPr>
          <w:color w:val="555555"/>
          <w:sz w:val="18"/>
          <w:szCs w:val="18"/>
          <w:lang w:val="fr-FR"/>
        </w:rPr>
        <w:t>Pillsbury Law (janvier 2026), « Trump Admin Targets Advanced AI Semiconductors ». Section 232 : tarif 25 % sur Nvidia H200, AMD MI325X pour réexportation Chine. Exemptions domestiques US. Règle finale BIS simultanée. Mise à jour marché DC prévue juillet 2026.</w:t>
      </w:r>
    </w:p>
    <w:p w14:paraId="159C4462" w14:textId="77777777" w:rsidR="002267BB" w:rsidRPr="0088580B" w:rsidRDefault="00000000">
      <w:pPr>
        <w:spacing w:after="60" w:line="262" w:lineRule="auto"/>
        <w:rPr>
          <w:lang w:val="fr-FR"/>
        </w:rPr>
      </w:pPr>
      <w:r>
        <w:rPr>
          <w:color w:val="2E75B6"/>
          <w:sz w:val="18"/>
          <w:szCs w:val="18"/>
          <w:vertAlign w:val="superscript"/>
        </w:rPr>
        <w:t xml:space="preserve">2 </w:t>
      </w:r>
      <w:r>
        <w:rPr>
          <w:color w:val="555555"/>
          <w:sz w:val="18"/>
          <w:szCs w:val="18"/>
        </w:rPr>
        <w:t xml:space="preserve">White House / CM Trade Law (juillet 2025), « America’s AI Action Plan ». </w:t>
      </w:r>
      <w:r>
        <w:rPr>
          <w:color w:val="555555"/>
          <w:sz w:val="18"/>
          <w:szCs w:val="18"/>
          <w:lang w:val="fr-FR"/>
        </w:rPr>
        <w:t>Pilier III : exporter le « full AI technology stack » aux alliés. Quatre principes : export aux alliés, renforcement enforcement, alignement global, protection mesures.</w:t>
      </w:r>
    </w:p>
    <w:p w14:paraId="26F820D2" w14:textId="77777777" w:rsidR="002267BB" w:rsidRPr="0088580B" w:rsidRDefault="00000000">
      <w:pPr>
        <w:spacing w:after="60" w:line="262" w:lineRule="auto"/>
        <w:rPr>
          <w:lang w:val="fr-FR"/>
        </w:rPr>
      </w:pPr>
      <w:r>
        <w:rPr>
          <w:color w:val="2E75B6"/>
          <w:sz w:val="18"/>
          <w:szCs w:val="18"/>
          <w:vertAlign w:val="superscript"/>
        </w:rPr>
        <w:t xml:space="preserve">3 </w:t>
      </w:r>
      <w:r>
        <w:rPr>
          <w:color w:val="555555"/>
          <w:sz w:val="18"/>
          <w:szCs w:val="18"/>
        </w:rPr>
        <w:t xml:space="preserve">Carnegie Endowment for International Peace (mai 2025), « The Trump Administration May Be About to Repeal the AI Diffusion Rule ». </w:t>
      </w:r>
      <w:r>
        <w:rPr>
          <w:color w:val="555555"/>
          <w:sz w:val="18"/>
          <w:szCs w:val="18"/>
          <w:lang w:val="fr-FR"/>
        </w:rPr>
        <w:t>Analyse du trilemme contrôle/promotion/levier. Recommandation : élargir le groupe Tier 1, augmenter les allocations Inde, renforcer les exigences de localisation.</w:t>
      </w:r>
    </w:p>
    <w:p w14:paraId="180FDB21" w14:textId="77777777" w:rsidR="002267BB" w:rsidRPr="0088580B" w:rsidRDefault="00000000">
      <w:pPr>
        <w:rPr>
          <w:lang w:val="fr-FR"/>
        </w:rPr>
      </w:pPr>
      <w:r>
        <w:rPr>
          <w:lang w:val="fr-FR"/>
        </w:rPr>
        <w:br w:type="page"/>
      </w:r>
    </w:p>
    <w:p w14:paraId="3356355D" w14:textId="77777777" w:rsidR="002267BB" w:rsidRDefault="00000000">
      <w:pPr>
        <w:pBdr>
          <w:bottom w:val="single" w:sz="2" w:space="8" w:color="2E75B6"/>
        </w:pBdr>
        <w:spacing w:after="240"/>
      </w:pPr>
      <w:r>
        <w:rPr>
          <w:b/>
          <w:bCs/>
          <w:color w:val="1B3A5C"/>
          <w:sz w:val="26"/>
          <w:szCs w:val="26"/>
        </w:rPr>
        <w:lastRenderedPageBreak/>
        <w:t>Récapitulatif de l’étude</w:t>
      </w:r>
    </w:p>
    <w:p w14:paraId="0D4A095B" w14:textId="77777777" w:rsidR="002267BB" w:rsidRDefault="002267BB">
      <w:pPr>
        <w:spacing w:after="80"/>
      </w:pPr>
    </w:p>
    <w:tbl>
      <w:tblPr>
        <w:tblW w:w="8826" w:type="dxa"/>
        <w:tblLayout w:type="fixed"/>
        <w:tblCellMar>
          <w:top w:w="80" w:type="dxa"/>
          <w:left w:w="120" w:type="dxa"/>
          <w:bottom w:w="80" w:type="dxa"/>
          <w:right w:w="120" w:type="dxa"/>
        </w:tblCellMar>
        <w:tblLook w:val="04A0" w:firstRow="1" w:lastRow="0" w:firstColumn="1" w:lastColumn="0" w:noHBand="0" w:noVBand="1"/>
      </w:tblPr>
      <w:tblGrid>
        <w:gridCol w:w="1200"/>
        <w:gridCol w:w="4413"/>
        <w:gridCol w:w="1599"/>
        <w:gridCol w:w="1614"/>
      </w:tblGrid>
      <w:tr w:rsidR="002267BB" w14:paraId="14AAD9DF" w14:textId="77777777">
        <w:tc>
          <w:tcPr>
            <w:tcW w:w="1200" w:type="dxa"/>
            <w:tcBorders>
              <w:top w:val="single" w:sz="2" w:space="0" w:color="CCCCCC"/>
              <w:left w:val="single" w:sz="2" w:space="0" w:color="CCCCCC"/>
              <w:bottom w:val="single" w:sz="2" w:space="0" w:color="CCCCCC"/>
              <w:right w:val="single" w:sz="2" w:space="0" w:color="CCCCCC"/>
            </w:tcBorders>
            <w:shd w:val="clear" w:color="auto" w:fill="1B3A5C"/>
          </w:tcPr>
          <w:p w14:paraId="6C558FFE" w14:textId="77777777" w:rsidR="002267BB" w:rsidRDefault="00000000">
            <w:r>
              <w:rPr>
                <w:b/>
                <w:bCs/>
                <w:color w:val="FFFFFF"/>
                <w:sz w:val="20"/>
                <w:szCs w:val="20"/>
              </w:rPr>
              <w:t>Chapitre</w:t>
            </w:r>
          </w:p>
        </w:tc>
        <w:tc>
          <w:tcPr>
            <w:tcW w:w="4413" w:type="dxa"/>
            <w:tcBorders>
              <w:top w:val="single" w:sz="2" w:space="0" w:color="CCCCCC"/>
              <w:left w:val="single" w:sz="2" w:space="0" w:color="CCCCCC"/>
              <w:bottom w:val="single" w:sz="2" w:space="0" w:color="CCCCCC"/>
              <w:right w:val="single" w:sz="2" w:space="0" w:color="CCCCCC"/>
            </w:tcBorders>
            <w:shd w:val="clear" w:color="auto" w:fill="1B3A5C"/>
          </w:tcPr>
          <w:p w14:paraId="2981FC5C" w14:textId="77777777" w:rsidR="002267BB" w:rsidRDefault="00000000">
            <w:r>
              <w:rPr>
                <w:b/>
                <w:bCs/>
                <w:color w:val="FFFFFF"/>
                <w:sz w:val="20"/>
                <w:szCs w:val="20"/>
              </w:rPr>
              <w:t>Titre</w:t>
            </w:r>
          </w:p>
        </w:tc>
        <w:tc>
          <w:tcPr>
            <w:tcW w:w="1599" w:type="dxa"/>
            <w:tcBorders>
              <w:top w:val="single" w:sz="2" w:space="0" w:color="CCCCCC"/>
              <w:left w:val="single" w:sz="2" w:space="0" w:color="CCCCCC"/>
              <w:bottom w:val="single" w:sz="2" w:space="0" w:color="CCCCCC"/>
              <w:right w:val="single" w:sz="2" w:space="0" w:color="CCCCCC"/>
            </w:tcBorders>
            <w:shd w:val="clear" w:color="auto" w:fill="1B3A5C"/>
          </w:tcPr>
          <w:p w14:paraId="7ABB1D46" w14:textId="77777777" w:rsidR="002267BB" w:rsidRDefault="00000000">
            <w:r>
              <w:rPr>
                <w:b/>
                <w:bCs/>
                <w:color w:val="FFFFFF"/>
                <w:sz w:val="20"/>
                <w:szCs w:val="20"/>
              </w:rPr>
              <w:t>Pages</w:t>
            </w:r>
          </w:p>
        </w:tc>
        <w:tc>
          <w:tcPr>
            <w:tcW w:w="1614" w:type="dxa"/>
            <w:tcBorders>
              <w:top w:val="single" w:sz="2" w:space="0" w:color="CCCCCC"/>
              <w:left w:val="single" w:sz="2" w:space="0" w:color="CCCCCC"/>
              <w:bottom w:val="single" w:sz="2" w:space="0" w:color="CCCCCC"/>
              <w:right w:val="single" w:sz="2" w:space="0" w:color="CCCCCC"/>
            </w:tcBorders>
            <w:shd w:val="clear" w:color="auto" w:fill="1B3A5C"/>
          </w:tcPr>
          <w:p w14:paraId="775F0E0C" w14:textId="77777777" w:rsidR="002267BB" w:rsidRDefault="00000000">
            <w:r>
              <w:rPr>
                <w:b/>
                <w:bCs/>
                <w:color w:val="FFFFFF"/>
                <w:sz w:val="20"/>
                <w:szCs w:val="20"/>
              </w:rPr>
              <w:t>Notes</w:t>
            </w:r>
          </w:p>
        </w:tc>
      </w:tr>
      <w:tr w:rsidR="002267BB" w14:paraId="20A8CE53" w14:textId="77777777">
        <w:tc>
          <w:tcPr>
            <w:tcW w:w="1200" w:type="dxa"/>
            <w:tcBorders>
              <w:top w:val="single" w:sz="2" w:space="0" w:color="CCCCCC"/>
              <w:left w:val="single" w:sz="2" w:space="0" w:color="CCCCCC"/>
              <w:bottom w:val="single" w:sz="2" w:space="0" w:color="CCCCCC"/>
              <w:right w:val="single" w:sz="2" w:space="0" w:color="CCCCCC"/>
            </w:tcBorders>
          </w:tcPr>
          <w:p w14:paraId="79750F0F" w14:textId="77777777" w:rsidR="002267BB" w:rsidRDefault="00000000">
            <w:pPr>
              <w:spacing w:after="40" w:line="276" w:lineRule="auto"/>
            </w:pPr>
            <w:r>
              <w:rPr>
                <w:color w:val="333333"/>
                <w:sz w:val="20"/>
                <w:szCs w:val="20"/>
              </w:rPr>
              <w:t>I</w:t>
            </w:r>
          </w:p>
        </w:tc>
        <w:tc>
          <w:tcPr>
            <w:tcW w:w="4413" w:type="dxa"/>
            <w:tcBorders>
              <w:top w:val="single" w:sz="2" w:space="0" w:color="CCCCCC"/>
              <w:left w:val="single" w:sz="2" w:space="0" w:color="CCCCCC"/>
              <w:bottom w:val="single" w:sz="2" w:space="0" w:color="CCCCCC"/>
              <w:right w:val="single" w:sz="2" w:space="0" w:color="CCCCCC"/>
            </w:tcBorders>
          </w:tcPr>
          <w:p w14:paraId="1ACFA47E" w14:textId="77777777" w:rsidR="002267BB" w:rsidRPr="0088580B" w:rsidRDefault="00000000">
            <w:pPr>
              <w:spacing w:after="40" w:line="276" w:lineRule="auto"/>
              <w:rPr>
                <w:lang w:val="fr-FR"/>
              </w:rPr>
            </w:pPr>
            <w:r>
              <w:rPr>
                <w:color w:val="333333"/>
                <w:sz w:val="20"/>
                <w:szCs w:val="20"/>
                <w:lang w:val="fr-FR"/>
              </w:rPr>
              <w:t>Cadre théorique : protectionnisme technologique et IA</w:t>
            </w:r>
          </w:p>
        </w:tc>
        <w:tc>
          <w:tcPr>
            <w:tcW w:w="1599" w:type="dxa"/>
            <w:tcBorders>
              <w:top w:val="single" w:sz="2" w:space="0" w:color="CCCCCC"/>
              <w:left w:val="single" w:sz="2" w:space="0" w:color="CCCCCC"/>
              <w:bottom w:val="single" w:sz="2" w:space="0" w:color="CCCCCC"/>
              <w:right w:val="single" w:sz="2" w:space="0" w:color="CCCCCC"/>
            </w:tcBorders>
          </w:tcPr>
          <w:p w14:paraId="2AE63AEF" w14:textId="77777777" w:rsidR="002267BB" w:rsidRDefault="00000000">
            <w:pPr>
              <w:spacing w:after="40" w:line="276" w:lineRule="auto"/>
            </w:pPr>
            <w:r>
              <w:rPr>
                <w:color w:val="333333"/>
                <w:sz w:val="20"/>
                <w:szCs w:val="20"/>
              </w:rPr>
              <w:t>~12</w:t>
            </w:r>
          </w:p>
        </w:tc>
        <w:tc>
          <w:tcPr>
            <w:tcW w:w="1614" w:type="dxa"/>
            <w:tcBorders>
              <w:top w:val="single" w:sz="2" w:space="0" w:color="CCCCCC"/>
              <w:left w:val="single" w:sz="2" w:space="0" w:color="CCCCCC"/>
              <w:bottom w:val="single" w:sz="2" w:space="0" w:color="CCCCCC"/>
              <w:right w:val="single" w:sz="2" w:space="0" w:color="CCCCCC"/>
            </w:tcBorders>
          </w:tcPr>
          <w:p w14:paraId="5D6FAF66" w14:textId="77777777" w:rsidR="002267BB" w:rsidRDefault="00000000">
            <w:pPr>
              <w:spacing w:after="40" w:line="276" w:lineRule="auto"/>
            </w:pPr>
            <w:r>
              <w:rPr>
                <w:color w:val="333333"/>
                <w:sz w:val="20"/>
                <w:szCs w:val="20"/>
              </w:rPr>
              <w:t>22</w:t>
            </w:r>
          </w:p>
        </w:tc>
      </w:tr>
      <w:tr w:rsidR="002267BB" w14:paraId="77FFB981" w14:textId="77777777">
        <w:tc>
          <w:tcPr>
            <w:tcW w:w="1200" w:type="dxa"/>
            <w:tcBorders>
              <w:top w:val="single" w:sz="2" w:space="0" w:color="CCCCCC"/>
              <w:left w:val="single" w:sz="2" w:space="0" w:color="CCCCCC"/>
              <w:bottom w:val="single" w:sz="2" w:space="0" w:color="CCCCCC"/>
              <w:right w:val="single" w:sz="2" w:space="0" w:color="CCCCCC"/>
            </w:tcBorders>
          </w:tcPr>
          <w:p w14:paraId="06FFF9B5" w14:textId="77777777" w:rsidR="002267BB" w:rsidRDefault="00000000">
            <w:pPr>
              <w:spacing w:after="40" w:line="276" w:lineRule="auto"/>
            </w:pPr>
            <w:r>
              <w:rPr>
                <w:color w:val="333333"/>
                <w:sz w:val="20"/>
                <w:szCs w:val="20"/>
              </w:rPr>
              <w:t>II</w:t>
            </w:r>
          </w:p>
        </w:tc>
        <w:tc>
          <w:tcPr>
            <w:tcW w:w="4413" w:type="dxa"/>
            <w:tcBorders>
              <w:top w:val="single" w:sz="2" w:space="0" w:color="CCCCCC"/>
              <w:left w:val="single" w:sz="2" w:space="0" w:color="CCCCCC"/>
              <w:bottom w:val="single" w:sz="2" w:space="0" w:color="CCCCCC"/>
              <w:right w:val="single" w:sz="2" w:space="0" w:color="CCCCCC"/>
            </w:tcBorders>
          </w:tcPr>
          <w:p w14:paraId="251B4708" w14:textId="77777777" w:rsidR="002267BB" w:rsidRPr="0088580B" w:rsidRDefault="00000000">
            <w:pPr>
              <w:spacing w:after="40" w:line="276" w:lineRule="auto"/>
              <w:rPr>
                <w:lang w:val="fr-FR"/>
              </w:rPr>
            </w:pPr>
            <w:r>
              <w:rPr>
                <w:color w:val="333333"/>
                <w:sz w:val="20"/>
                <w:szCs w:val="20"/>
                <w:lang w:val="fr-FR"/>
              </w:rPr>
              <w:t>Méthodologie : matrice scénarielle et indice CACI</w:t>
            </w:r>
          </w:p>
        </w:tc>
        <w:tc>
          <w:tcPr>
            <w:tcW w:w="1599" w:type="dxa"/>
            <w:tcBorders>
              <w:top w:val="single" w:sz="2" w:space="0" w:color="CCCCCC"/>
              <w:left w:val="single" w:sz="2" w:space="0" w:color="CCCCCC"/>
              <w:bottom w:val="single" w:sz="2" w:space="0" w:color="CCCCCC"/>
              <w:right w:val="single" w:sz="2" w:space="0" w:color="CCCCCC"/>
            </w:tcBorders>
          </w:tcPr>
          <w:p w14:paraId="2280D32D" w14:textId="77777777" w:rsidR="002267BB" w:rsidRDefault="00000000">
            <w:pPr>
              <w:spacing w:after="40" w:line="276" w:lineRule="auto"/>
            </w:pPr>
            <w:r>
              <w:rPr>
                <w:color w:val="333333"/>
                <w:sz w:val="20"/>
                <w:szCs w:val="20"/>
              </w:rPr>
              <w:t>~8</w:t>
            </w:r>
          </w:p>
        </w:tc>
        <w:tc>
          <w:tcPr>
            <w:tcW w:w="1614" w:type="dxa"/>
            <w:tcBorders>
              <w:top w:val="single" w:sz="2" w:space="0" w:color="CCCCCC"/>
              <w:left w:val="single" w:sz="2" w:space="0" w:color="CCCCCC"/>
              <w:bottom w:val="single" w:sz="2" w:space="0" w:color="CCCCCC"/>
              <w:right w:val="single" w:sz="2" w:space="0" w:color="CCCCCC"/>
            </w:tcBorders>
          </w:tcPr>
          <w:p w14:paraId="433233F3" w14:textId="77777777" w:rsidR="002267BB" w:rsidRDefault="00000000">
            <w:pPr>
              <w:spacing w:after="40" w:line="276" w:lineRule="auto"/>
            </w:pPr>
            <w:r>
              <w:rPr>
                <w:color w:val="333333"/>
                <w:sz w:val="20"/>
                <w:szCs w:val="20"/>
              </w:rPr>
              <w:t>10</w:t>
            </w:r>
          </w:p>
        </w:tc>
      </w:tr>
      <w:tr w:rsidR="002267BB" w14:paraId="0825ECF9" w14:textId="77777777">
        <w:tc>
          <w:tcPr>
            <w:tcW w:w="1200" w:type="dxa"/>
            <w:tcBorders>
              <w:top w:val="single" w:sz="2" w:space="0" w:color="CCCCCC"/>
              <w:left w:val="single" w:sz="2" w:space="0" w:color="CCCCCC"/>
              <w:bottom w:val="single" w:sz="2" w:space="0" w:color="CCCCCC"/>
              <w:right w:val="single" w:sz="2" w:space="0" w:color="CCCCCC"/>
            </w:tcBorders>
          </w:tcPr>
          <w:p w14:paraId="287C8DF7" w14:textId="77777777" w:rsidR="002267BB" w:rsidRDefault="00000000">
            <w:pPr>
              <w:spacing w:after="40" w:line="276" w:lineRule="auto"/>
            </w:pPr>
            <w:r>
              <w:rPr>
                <w:color w:val="333333"/>
                <w:sz w:val="20"/>
                <w:szCs w:val="20"/>
              </w:rPr>
              <w:t>III</w:t>
            </w:r>
          </w:p>
        </w:tc>
        <w:tc>
          <w:tcPr>
            <w:tcW w:w="4413" w:type="dxa"/>
            <w:tcBorders>
              <w:top w:val="single" w:sz="2" w:space="0" w:color="CCCCCC"/>
              <w:left w:val="single" w:sz="2" w:space="0" w:color="CCCCCC"/>
              <w:bottom w:val="single" w:sz="2" w:space="0" w:color="CCCCCC"/>
              <w:right w:val="single" w:sz="2" w:space="0" w:color="CCCCCC"/>
            </w:tcBorders>
          </w:tcPr>
          <w:p w14:paraId="4D5EF932" w14:textId="77777777" w:rsidR="002267BB" w:rsidRPr="0088580B" w:rsidRDefault="00000000">
            <w:pPr>
              <w:spacing w:after="40" w:line="276" w:lineRule="auto"/>
              <w:rPr>
                <w:lang w:val="fr-FR"/>
              </w:rPr>
            </w:pPr>
            <w:r>
              <w:rPr>
                <w:color w:val="333333"/>
                <w:sz w:val="20"/>
                <w:szCs w:val="20"/>
                <w:lang w:val="fr-FR"/>
              </w:rPr>
              <w:t>Diagnostic empirique 2020-2026 : énergie, semi-conducteurs, compute</w:t>
            </w:r>
          </w:p>
        </w:tc>
        <w:tc>
          <w:tcPr>
            <w:tcW w:w="1599" w:type="dxa"/>
            <w:tcBorders>
              <w:top w:val="single" w:sz="2" w:space="0" w:color="CCCCCC"/>
              <w:left w:val="single" w:sz="2" w:space="0" w:color="CCCCCC"/>
              <w:bottom w:val="single" w:sz="2" w:space="0" w:color="CCCCCC"/>
              <w:right w:val="single" w:sz="2" w:space="0" w:color="CCCCCC"/>
            </w:tcBorders>
          </w:tcPr>
          <w:p w14:paraId="4F8AE368" w14:textId="77777777" w:rsidR="002267BB" w:rsidRDefault="00000000">
            <w:pPr>
              <w:spacing w:after="40" w:line="276" w:lineRule="auto"/>
            </w:pPr>
            <w:r>
              <w:rPr>
                <w:color w:val="333333"/>
                <w:sz w:val="20"/>
                <w:szCs w:val="20"/>
              </w:rPr>
              <w:t>~11</w:t>
            </w:r>
          </w:p>
        </w:tc>
        <w:tc>
          <w:tcPr>
            <w:tcW w:w="1614" w:type="dxa"/>
            <w:tcBorders>
              <w:top w:val="single" w:sz="2" w:space="0" w:color="CCCCCC"/>
              <w:left w:val="single" w:sz="2" w:space="0" w:color="CCCCCC"/>
              <w:bottom w:val="single" w:sz="2" w:space="0" w:color="CCCCCC"/>
              <w:right w:val="single" w:sz="2" w:space="0" w:color="CCCCCC"/>
            </w:tcBorders>
          </w:tcPr>
          <w:p w14:paraId="1E42EA5E" w14:textId="77777777" w:rsidR="002267BB" w:rsidRDefault="00000000">
            <w:pPr>
              <w:spacing w:after="40" w:line="276" w:lineRule="auto"/>
            </w:pPr>
            <w:r>
              <w:rPr>
                <w:color w:val="333333"/>
                <w:sz w:val="20"/>
                <w:szCs w:val="20"/>
              </w:rPr>
              <w:t>20</w:t>
            </w:r>
          </w:p>
        </w:tc>
      </w:tr>
      <w:tr w:rsidR="002267BB" w14:paraId="0A654580" w14:textId="77777777">
        <w:tc>
          <w:tcPr>
            <w:tcW w:w="1200" w:type="dxa"/>
            <w:tcBorders>
              <w:top w:val="single" w:sz="2" w:space="0" w:color="CCCCCC"/>
              <w:left w:val="single" w:sz="2" w:space="0" w:color="CCCCCC"/>
              <w:bottom w:val="single" w:sz="2" w:space="0" w:color="CCCCCC"/>
              <w:right w:val="single" w:sz="2" w:space="0" w:color="CCCCCC"/>
            </w:tcBorders>
          </w:tcPr>
          <w:p w14:paraId="3200B13F" w14:textId="77777777" w:rsidR="002267BB" w:rsidRDefault="00000000">
            <w:pPr>
              <w:spacing w:after="40" w:line="276" w:lineRule="auto"/>
            </w:pPr>
            <w:r>
              <w:rPr>
                <w:color w:val="333333"/>
                <w:sz w:val="20"/>
                <w:szCs w:val="20"/>
              </w:rPr>
              <w:t>IV</w:t>
            </w:r>
          </w:p>
        </w:tc>
        <w:tc>
          <w:tcPr>
            <w:tcW w:w="4413" w:type="dxa"/>
            <w:tcBorders>
              <w:top w:val="single" w:sz="2" w:space="0" w:color="CCCCCC"/>
              <w:left w:val="single" w:sz="2" w:space="0" w:color="CCCCCC"/>
              <w:bottom w:val="single" w:sz="2" w:space="0" w:color="CCCCCC"/>
              <w:right w:val="single" w:sz="2" w:space="0" w:color="CCCCCC"/>
            </w:tcBorders>
          </w:tcPr>
          <w:p w14:paraId="5F9C9ED8" w14:textId="77777777" w:rsidR="002267BB" w:rsidRPr="0088580B" w:rsidRDefault="00000000">
            <w:pPr>
              <w:spacing w:after="40" w:line="276" w:lineRule="auto"/>
              <w:rPr>
                <w:lang w:val="fr-FR"/>
              </w:rPr>
            </w:pPr>
            <w:r>
              <w:rPr>
                <w:color w:val="333333"/>
                <w:sz w:val="20"/>
                <w:szCs w:val="20"/>
                <w:lang w:val="fr-FR"/>
              </w:rPr>
              <w:t>Mécanismes de l’avantage compétitif US</w:t>
            </w:r>
          </w:p>
        </w:tc>
        <w:tc>
          <w:tcPr>
            <w:tcW w:w="1599" w:type="dxa"/>
            <w:tcBorders>
              <w:top w:val="single" w:sz="2" w:space="0" w:color="CCCCCC"/>
              <w:left w:val="single" w:sz="2" w:space="0" w:color="CCCCCC"/>
              <w:bottom w:val="single" w:sz="2" w:space="0" w:color="CCCCCC"/>
              <w:right w:val="single" w:sz="2" w:space="0" w:color="CCCCCC"/>
            </w:tcBorders>
          </w:tcPr>
          <w:p w14:paraId="16869FF6" w14:textId="77777777" w:rsidR="002267BB" w:rsidRDefault="00000000">
            <w:pPr>
              <w:spacing w:after="40" w:line="276" w:lineRule="auto"/>
            </w:pPr>
            <w:r>
              <w:rPr>
                <w:color w:val="333333"/>
                <w:sz w:val="20"/>
                <w:szCs w:val="20"/>
              </w:rPr>
              <w:t>~9</w:t>
            </w:r>
          </w:p>
        </w:tc>
        <w:tc>
          <w:tcPr>
            <w:tcW w:w="1614" w:type="dxa"/>
            <w:tcBorders>
              <w:top w:val="single" w:sz="2" w:space="0" w:color="CCCCCC"/>
              <w:left w:val="single" w:sz="2" w:space="0" w:color="CCCCCC"/>
              <w:bottom w:val="single" w:sz="2" w:space="0" w:color="CCCCCC"/>
              <w:right w:val="single" w:sz="2" w:space="0" w:color="CCCCCC"/>
            </w:tcBorders>
          </w:tcPr>
          <w:p w14:paraId="45B34B87" w14:textId="77777777" w:rsidR="002267BB" w:rsidRDefault="00000000">
            <w:pPr>
              <w:spacing w:after="40" w:line="276" w:lineRule="auto"/>
            </w:pPr>
            <w:r>
              <w:rPr>
                <w:color w:val="333333"/>
                <w:sz w:val="20"/>
                <w:szCs w:val="20"/>
              </w:rPr>
              <w:t>19</w:t>
            </w:r>
          </w:p>
        </w:tc>
      </w:tr>
      <w:tr w:rsidR="002267BB" w14:paraId="7FAE6744" w14:textId="77777777">
        <w:tc>
          <w:tcPr>
            <w:tcW w:w="1200" w:type="dxa"/>
            <w:tcBorders>
              <w:top w:val="single" w:sz="2" w:space="0" w:color="CCCCCC"/>
              <w:left w:val="single" w:sz="2" w:space="0" w:color="CCCCCC"/>
              <w:bottom w:val="single" w:sz="2" w:space="0" w:color="CCCCCC"/>
              <w:right w:val="single" w:sz="2" w:space="0" w:color="CCCCCC"/>
            </w:tcBorders>
          </w:tcPr>
          <w:p w14:paraId="6A27EF9A" w14:textId="77777777" w:rsidR="002267BB" w:rsidRDefault="00000000">
            <w:pPr>
              <w:spacing w:after="40" w:line="276" w:lineRule="auto"/>
            </w:pPr>
            <w:r>
              <w:rPr>
                <w:color w:val="333333"/>
                <w:sz w:val="20"/>
                <w:szCs w:val="20"/>
              </w:rPr>
              <w:t>V</w:t>
            </w:r>
          </w:p>
        </w:tc>
        <w:tc>
          <w:tcPr>
            <w:tcW w:w="4413" w:type="dxa"/>
            <w:tcBorders>
              <w:top w:val="single" w:sz="2" w:space="0" w:color="CCCCCC"/>
              <w:left w:val="single" w:sz="2" w:space="0" w:color="CCCCCC"/>
              <w:bottom w:val="single" w:sz="2" w:space="0" w:color="CCCCCC"/>
              <w:right w:val="single" w:sz="2" w:space="0" w:color="CCCCCC"/>
            </w:tcBorders>
          </w:tcPr>
          <w:p w14:paraId="191FD851" w14:textId="77777777" w:rsidR="002267BB" w:rsidRPr="0088580B" w:rsidRDefault="00000000">
            <w:pPr>
              <w:spacing w:after="40" w:line="276" w:lineRule="auto"/>
              <w:rPr>
                <w:lang w:val="fr-FR"/>
              </w:rPr>
            </w:pPr>
            <w:r>
              <w:rPr>
                <w:color w:val="333333"/>
                <w:sz w:val="20"/>
                <w:szCs w:val="20"/>
                <w:lang w:val="fr-FR"/>
              </w:rPr>
              <w:t>Scénarios prospectifs 2026-2030 et points de basculement</w:t>
            </w:r>
          </w:p>
        </w:tc>
        <w:tc>
          <w:tcPr>
            <w:tcW w:w="1599" w:type="dxa"/>
            <w:tcBorders>
              <w:top w:val="single" w:sz="2" w:space="0" w:color="CCCCCC"/>
              <w:left w:val="single" w:sz="2" w:space="0" w:color="CCCCCC"/>
              <w:bottom w:val="single" w:sz="2" w:space="0" w:color="CCCCCC"/>
              <w:right w:val="single" w:sz="2" w:space="0" w:color="CCCCCC"/>
            </w:tcBorders>
          </w:tcPr>
          <w:p w14:paraId="75BA4815" w14:textId="77777777" w:rsidR="002267BB" w:rsidRDefault="00000000">
            <w:pPr>
              <w:spacing w:after="40" w:line="276" w:lineRule="auto"/>
            </w:pPr>
            <w:r>
              <w:rPr>
                <w:color w:val="333333"/>
                <w:sz w:val="20"/>
                <w:szCs w:val="20"/>
              </w:rPr>
              <w:t>~11</w:t>
            </w:r>
          </w:p>
        </w:tc>
        <w:tc>
          <w:tcPr>
            <w:tcW w:w="1614" w:type="dxa"/>
            <w:tcBorders>
              <w:top w:val="single" w:sz="2" w:space="0" w:color="CCCCCC"/>
              <w:left w:val="single" w:sz="2" w:space="0" w:color="CCCCCC"/>
              <w:bottom w:val="single" w:sz="2" w:space="0" w:color="CCCCCC"/>
              <w:right w:val="single" w:sz="2" w:space="0" w:color="CCCCCC"/>
            </w:tcBorders>
          </w:tcPr>
          <w:p w14:paraId="066C315D" w14:textId="77777777" w:rsidR="002267BB" w:rsidRDefault="00000000">
            <w:pPr>
              <w:spacing w:after="40" w:line="276" w:lineRule="auto"/>
            </w:pPr>
            <w:r>
              <w:rPr>
                <w:color w:val="333333"/>
                <w:sz w:val="20"/>
                <w:szCs w:val="20"/>
              </w:rPr>
              <w:t>16</w:t>
            </w:r>
          </w:p>
        </w:tc>
      </w:tr>
      <w:tr w:rsidR="002267BB" w14:paraId="137E5AAB" w14:textId="77777777">
        <w:tc>
          <w:tcPr>
            <w:tcW w:w="1200" w:type="dxa"/>
            <w:tcBorders>
              <w:top w:val="single" w:sz="2" w:space="0" w:color="CCCCCC"/>
              <w:left w:val="single" w:sz="2" w:space="0" w:color="CCCCCC"/>
              <w:bottom w:val="single" w:sz="2" w:space="0" w:color="CCCCCC"/>
              <w:right w:val="single" w:sz="2" w:space="0" w:color="CCCCCC"/>
            </w:tcBorders>
          </w:tcPr>
          <w:p w14:paraId="60BC9B87" w14:textId="77777777" w:rsidR="002267BB" w:rsidRDefault="00000000">
            <w:pPr>
              <w:spacing w:after="40" w:line="276" w:lineRule="auto"/>
            </w:pPr>
            <w:r>
              <w:rPr>
                <w:color w:val="333333"/>
                <w:sz w:val="20"/>
                <w:szCs w:val="20"/>
              </w:rPr>
              <w:t>VI</w:t>
            </w:r>
          </w:p>
        </w:tc>
        <w:tc>
          <w:tcPr>
            <w:tcW w:w="4413" w:type="dxa"/>
            <w:tcBorders>
              <w:top w:val="single" w:sz="2" w:space="0" w:color="CCCCCC"/>
              <w:left w:val="single" w:sz="2" w:space="0" w:color="CCCCCC"/>
              <w:bottom w:val="single" w:sz="2" w:space="0" w:color="CCCCCC"/>
              <w:right w:val="single" w:sz="2" w:space="0" w:color="CCCCCC"/>
            </w:tcBorders>
          </w:tcPr>
          <w:p w14:paraId="3EA785C0" w14:textId="77777777" w:rsidR="002267BB" w:rsidRPr="0088580B" w:rsidRDefault="00000000">
            <w:pPr>
              <w:spacing w:after="40" w:line="276" w:lineRule="auto"/>
              <w:rPr>
                <w:lang w:val="fr-FR"/>
              </w:rPr>
            </w:pPr>
            <w:r>
              <w:rPr>
                <w:color w:val="333333"/>
                <w:sz w:val="20"/>
                <w:szCs w:val="20"/>
                <w:lang w:val="fr-FR"/>
              </w:rPr>
              <w:t>Conséquences pour la France et l’Europe</w:t>
            </w:r>
          </w:p>
        </w:tc>
        <w:tc>
          <w:tcPr>
            <w:tcW w:w="1599" w:type="dxa"/>
            <w:tcBorders>
              <w:top w:val="single" w:sz="2" w:space="0" w:color="CCCCCC"/>
              <w:left w:val="single" w:sz="2" w:space="0" w:color="CCCCCC"/>
              <w:bottom w:val="single" w:sz="2" w:space="0" w:color="CCCCCC"/>
              <w:right w:val="single" w:sz="2" w:space="0" w:color="CCCCCC"/>
            </w:tcBorders>
          </w:tcPr>
          <w:p w14:paraId="3BC2EC52" w14:textId="77777777" w:rsidR="002267BB" w:rsidRDefault="00000000">
            <w:pPr>
              <w:spacing w:after="40" w:line="276" w:lineRule="auto"/>
            </w:pPr>
            <w:r>
              <w:rPr>
                <w:color w:val="333333"/>
                <w:sz w:val="20"/>
                <w:szCs w:val="20"/>
              </w:rPr>
              <w:t>~10</w:t>
            </w:r>
          </w:p>
        </w:tc>
        <w:tc>
          <w:tcPr>
            <w:tcW w:w="1614" w:type="dxa"/>
            <w:tcBorders>
              <w:top w:val="single" w:sz="2" w:space="0" w:color="CCCCCC"/>
              <w:left w:val="single" w:sz="2" w:space="0" w:color="CCCCCC"/>
              <w:bottom w:val="single" w:sz="2" w:space="0" w:color="CCCCCC"/>
              <w:right w:val="single" w:sz="2" w:space="0" w:color="CCCCCC"/>
            </w:tcBorders>
          </w:tcPr>
          <w:p w14:paraId="3FF0C9E6" w14:textId="77777777" w:rsidR="002267BB" w:rsidRDefault="00000000">
            <w:pPr>
              <w:spacing w:after="40" w:line="276" w:lineRule="auto"/>
            </w:pPr>
            <w:r>
              <w:rPr>
                <w:color w:val="333333"/>
                <w:sz w:val="20"/>
                <w:szCs w:val="20"/>
              </w:rPr>
              <w:t>14</w:t>
            </w:r>
          </w:p>
        </w:tc>
      </w:tr>
      <w:tr w:rsidR="002267BB" w14:paraId="09BBD5F6" w14:textId="77777777">
        <w:tc>
          <w:tcPr>
            <w:tcW w:w="1200" w:type="dxa"/>
            <w:tcBorders>
              <w:top w:val="single" w:sz="2" w:space="0" w:color="CCCCCC"/>
              <w:left w:val="single" w:sz="2" w:space="0" w:color="CCCCCC"/>
              <w:bottom w:val="single" w:sz="2" w:space="0" w:color="CCCCCC"/>
              <w:right w:val="single" w:sz="2" w:space="0" w:color="CCCCCC"/>
            </w:tcBorders>
          </w:tcPr>
          <w:p w14:paraId="71690AFD" w14:textId="77777777" w:rsidR="002267BB" w:rsidRDefault="00000000">
            <w:pPr>
              <w:spacing w:after="40" w:line="276" w:lineRule="auto"/>
            </w:pPr>
            <w:r>
              <w:rPr>
                <w:color w:val="333333"/>
                <w:sz w:val="20"/>
                <w:szCs w:val="20"/>
              </w:rPr>
              <w:t>VI bis</w:t>
            </w:r>
          </w:p>
        </w:tc>
        <w:tc>
          <w:tcPr>
            <w:tcW w:w="4413" w:type="dxa"/>
            <w:tcBorders>
              <w:top w:val="single" w:sz="2" w:space="0" w:color="CCCCCC"/>
              <w:left w:val="single" w:sz="2" w:space="0" w:color="CCCCCC"/>
              <w:bottom w:val="single" w:sz="2" w:space="0" w:color="CCCCCC"/>
              <w:right w:val="single" w:sz="2" w:space="0" w:color="CCCCCC"/>
            </w:tcBorders>
          </w:tcPr>
          <w:p w14:paraId="65D786F1" w14:textId="77777777" w:rsidR="002267BB" w:rsidRPr="0088580B" w:rsidRDefault="00000000">
            <w:pPr>
              <w:spacing w:after="40" w:line="276" w:lineRule="auto"/>
              <w:rPr>
                <w:lang w:val="fr-FR"/>
              </w:rPr>
            </w:pPr>
            <w:r>
              <w:rPr>
                <w:color w:val="333333"/>
                <w:sz w:val="20"/>
                <w:szCs w:val="20"/>
                <w:lang w:val="fr-FR"/>
              </w:rPr>
              <w:t>Conséquences pour l’Amérique du Sud et le Brésil</w:t>
            </w:r>
          </w:p>
        </w:tc>
        <w:tc>
          <w:tcPr>
            <w:tcW w:w="1599" w:type="dxa"/>
            <w:tcBorders>
              <w:top w:val="single" w:sz="2" w:space="0" w:color="CCCCCC"/>
              <w:left w:val="single" w:sz="2" w:space="0" w:color="CCCCCC"/>
              <w:bottom w:val="single" w:sz="2" w:space="0" w:color="CCCCCC"/>
              <w:right w:val="single" w:sz="2" w:space="0" w:color="CCCCCC"/>
            </w:tcBorders>
          </w:tcPr>
          <w:p w14:paraId="1860AF48" w14:textId="77777777" w:rsidR="002267BB" w:rsidRDefault="00000000">
            <w:pPr>
              <w:spacing w:after="40" w:line="276" w:lineRule="auto"/>
            </w:pPr>
            <w:r>
              <w:rPr>
                <w:color w:val="333333"/>
                <w:sz w:val="20"/>
                <w:szCs w:val="20"/>
              </w:rPr>
              <w:t>~11</w:t>
            </w:r>
          </w:p>
        </w:tc>
        <w:tc>
          <w:tcPr>
            <w:tcW w:w="1614" w:type="dxa"/>
            <w:tcBorders>
              <w:top w:val="single" w:sz="2" w:space="0" w:color="CCCCCC"/>
              <w:left w:val="single" w:sz="2" w:space="0" w:color="CCCCCC"/>
              <w:bottom w:val="single" w:sz="2" w:space="0" w:color="CCCCCC"/>
              <w:right w:val="single" w:sz="2" w:space="0" w:color="CCCCCC"/>
            </w:tcBorders>
          </w:tcPr>
          <w:p w14:paraId="50312DEE" w14:textId="77777777" w:rsidR="002267BB" w:rsidRDefault="00000000">
            <w:pPr>
              <w:spacing w:after="40" w:line="276" w:lineRule="auto"/>
            </w:pPr>
            <w:r>
              <w:rPr>
                <w:color w:val="333333"/>
                <w:sz w:val="20"/>
                <w:szCs w:val="20"/>
              </w:rPr>
              <w:t>19</w:t>
            </w:r>
          </w:p>
        </w:tc>
      </w:tr>
      <w:tr w:rsidR="002267BB" w14:paraId="16FCC476" w14:textId="77777777">
        <w:tc>
          <w:tcPr>
            <w:tcW w:w="1200" w:type="dxa"/>
            <w:tcBorders>
              <w:top w:val="single" w:sz="2" w:space="0" w:color="CCCCCC"/>
              <w:left w:val="single" w:sz="2" w:space="0" w:color="CCCCCC"/>
              <w:bottom w:val="single" w:sz="2" w:space="0" w:color="CCCCCC"/>
              <w:right w:val="single" w:sz="2" w:space="0" w:color="CCCCCC"/>
            </w:tcBorders>
          </w:tcPr>
          <w:p w14:paraId="060BF153" w14:textId="77777777" w:rsidR="002267BB" w:rsidRDefault="00000000">
            <w:pPr>
              <w:spacing w:after="40" w:line="276" w:lineRule="auto"/>
            </w:pPr>
            <w:r>
              <w:rPr>
                <w:color w:val="333333"/>
                <w:sz w:val="20"/>
                <w:szCs w:val="20"/>
              </w:rPr>
              <w:t>VI ter</w:t>
            </w:r>
          </w:p>
        </w:tc>
        <w:tc>
          <w:tcPr>
            <w:tcW w:w="4413" w:type="dxa"/>
            <w:tcBorders>
              <w:top w:val="single" w:sz="2" w:space="0" w:color="CCCCCC"/>
              <w:left w:val="single" w:sz="2" w:space="0" w:color="CCCCCC"/>
              <w:bottom w:val="single" w:sz="2" w:space="0" w:color="CCCCCC"/>
              <w:right w:val="single" w:sz="2" w:space="0" w:color="CCCCCC"/>
            </w:tcBorders>
          </w:tcPr>
          <w:p w14:paraId="13359E0D" w14:textId="77777777" w:rsidR="002267BB" w:rsidRDefault="00000000">
            <w:pPr>
              <w:spacing w:after="40" w:line="276" w:lineRule="auto"/>
            </w:pPr>
            <w:r>
              <w:rPr>
                <w:color w:val="333333"/>
                <w:sz w:val="20"/>
                <w:szCs w:val="20"/>
              </w:rPr>
              <w:t>Conséquences pour l’Asie</w:t>
            </w:r>
          </w:p>
        </w:tc>
        <w:tc>
          <w:tcPr>
            <w:tcW w:w="1599" w:type="dxa"/>
            <w:tcBorders>
              <w:top w:val="single" w:sz="2" w:space="0" w:color="CCCCCC"/>
              <w:left w:val="single" w:sz="2" w:space="0" w:color="CCCCCC"/>
              <w:bottom w:val="single" w:sz="2" w:space="0" w:color="CCCCCC"/>
              <w:right w:val="single" w:sz="2" w:space="0" w:color="CCCCCC"/>
            </w:tcBorders>
          </w:tcPr>
          <w:p w14:paraId="0AFD023D" w14:textId="77777777" w:rsidR="002267BB" w:rsidRDefault="00000000">
            <w:pPr>
              <w:spacing w:after="40" w:line="276" w:lineRule="auto"/>
            </w:pPr>
            <w:r>
              <w:rPr>
                <w:color w:val="333333"/>
                <w:sz w:val="20"/>
                <w:szCs w:val="20"/>
              </w:rPr>
              <w:t>~12</w:t>
            </w:r>
          </w:p>
        </w:tc>
        <w:tc>
          <w:tcPr>
            <w:tcW w:w="1614" w:type="dxa"/>
            <w:tcBorders>
              <w:top w:val="single" w:sz="2" w:space="0" w:color="CCCCCC"/>
              <w:left w:val="single" w:sz="2" w:space="0" w:color="CCCCCC"/>
              <w:bottom w:val="single" w:sz="2" w:space="0" w:color="CCCCCC"/>
              <w:right w:val="single" w:sz="2" w:space="0" w:color="CCCCCC"/>
            </w:tcBorders>
          </w:tcPr>
          <w:p w14:paraId="274B8367" w14:textId="77777777" w:rsidR="002267BB" w:rsidRDefault="00000000">
            <w:pPr>
              <w:spacing w:after="40" w:line="276" w:lineRule="auto"/>
            </w:pPr>
            <w:r>
              <w:rPr>
                <w:color w:val="333333"/>
                <w:sz w:val="20"/>
                <w:szCs w:val="20"/>
              </w:rPr>
              <w:t>16</w:t>
            </w:r>
          </w:p>
        </w:tc>
      </w:tr>
      <w:tr w:rsidR="002267BB" w14:paraId="795DE7BF" w14:textId="77777777">
        <w:tc>
          <w:tcPr>
            <w:tcW w:w="1200" w:type="dxa"/>
            <w:tcBorders>
              <w:top w:val="single" w:sz="2" w:space="0" w:color="CCCCCC"/>
              <w:left w:val="single" w:sz="2" w:space="0" w:color="CCCCCC"/>
              <w:bottom w:val="single" w:sz="2" w:space="0" w:color="CCCCCC"/>
              <w:right w:val="single" w:sz="2" w:space="0" w:color="CCCCCC"/>
            </w:tcBorders>
          </w:tcPr>
          <w:p w14:paraId="7A09A5A0" w14:textId="77777777" w:rsidR="002267BB" w:rsidRDefault="00000000">
            <w:pPr>
              <w:spacing w:after="40" w:line="276" w:lineRule="auto"/>
            </w:pPr>
            <w:r>
              <w:rPr>
                <w:color w:val="333333"/>
                <w:sz w:val="20"/>
                <w:szCs w:val="20"/>
              </w:rPr>
              <w:t>VII</w:t>
            </w:r>
          </w:p>
        </w:tc>
        <w:tc>
          <w:tcPr>
            <w:tcW w:w="4413" w:type="dxa"/>
            <w:tcBorders>
              <w:top w:val="single" w:sz="2" w:space="0" w:color="CCCCCC"/>
              <w:left w:val="single" w:sz="2" w:space="0" w:color="CCCCCC"/>
              <w:bottom w:val="single" w:sz="2" w:space="0" w:color="CCCCCC"/>
              <w:right w:val="single" w:sz="2" w:space="0" w:color="CCCCCC"/>
            </w:tcBorders>
          </w:tcPr>
          <w:p w14:paraId="5F23E542" w14:textId="77777777" w:rsidR="002267BB" w:rsidRPr="0088580B" w:rsidRDefault="00000000">
            <w:pPr>
              <w:spacing w:after="40" w:line="276" w:lineRule="auto"/>
              <w:rPr>
                <w:lang w:val="fr-FR"/>
              </w:rPr>
            </w:pPr>
            <w:r>
              <w:rPr>
                <w:color w:val="333333"/>
                <w:sz w:val="20"/>
                <w:szCs w:val="20"/>
                <w:lang w:val="fr-FR"/>
              </w:rPr>
              <w:t>Recommandations stratégiques pour la France et l’Europe</w:t>
            </w:r>
          </w:p>
        </w:tc>
        <w:tc>
          <w:tcPr>
            <w:tcW w:w="1599" w:type="dxa"/>
            <w:tcBorders>
              <w:top w:val="single" w:sz="2" w:space="0" w:color="CCCCCC"/>
              <w:left w:val="single" w:sz="2" w:space="0" w:color="CCCCCC"/>
              <w:bottom w:val="single" w:sz="2" w:space="0" w:color="CCCCCC"/>
              <w:right w:val="single" w:sz="2" w:space="0" w:color="CCCCCC"/>
            </w:tcBorders>
          </w:tcPr>
          <w:p w14:paraId="7F1EF1CF" w14:textId="77777777" w:rsidR="002267BB" w:rsidRDefault="00000000">
            <w:pPr>
              <w:spacing w:after="40" w:line="276" w:lineRule="auto"/>
            </w:pPr>
            <w:r>
              <w:rPr>
                <w:color w:val="333333"/>
                <w:sz w:val="20"/>
                <w:szCs w:val="20"/>
              </w:rPr>
              <w:t>~11</w:t>
            </w:r>
          </w:p>
        </w:tc>
        <w:tc>
          <w:tcPr>
            <w:tcW w:w="1614" w:type="dxa"/>
            <w:tcBorders>
              <w:top w:val="single" w:sz="2" w:space="0" w:color="CCCCCC"/>
              <w:left w:val="single" w:sz="2" w:space="0" w:color="CCCCCC"/>
              <w:bottom w:val="single" w:sz="2" w:space="0" w:color="CCCCCC"/>
              <w:right w:val="single" w:sz="2" w:space="0" w:color="CCCCCC"/>
            </w:tcBorders>
          </w:tcPr>
          <w:p w14:paraId="612F946C" w14:textId="77777777" w:rsidR="002267BB" w:rsidRDefault="00000000">
            <w:pPr>
              <w:spacing w:after="40" w:line="276" w:lineRule="auto"/>
            </w:pPr>
            <w:r>
              <w:rPr>
                <w:color w:val="333333"/>
                <w:sz w:val="20"/>
                <w:szCs w:val="20"/>
              </w:rPr>
              <w:t>18</w:t>
            </w:r>
          </w:p>
        </w:tc>
      </w:tr>
      <w:tr w:rsidR="002267BB" w14:paraId="06846EC6" w14:textId="77777777">
        <w:tc>
          <w:tcPr>
            <w:tcW w:w="1200" w:type="dxa"/>
            <w:tcBorders>
              <w:top w:val="single" w:sz="2" w:space="0" w:color="CCCCCC"/>
              <w:left w:val="single" w:sz="2" w:space="0" w:color="CCCCCC"/>
              <w:bottom w:val="single" w:sz="2" w:space="0" w:color="CCCCCC"/>
              <w:right w:val="single" w:sz="2" w:space="0" w:color="CCCCCC"/>
            </w:tcBorders>
          </w:tcPr>
          <w:p w14:paraId="22907589" w14:textId="77777777" w:rsidR="002267BB" w:rsidRDefault="00000000">
            <w:pPr>
              <w:spacing w:after="40" w:line="276" w:lineRule="auto"/>
            </w:pPr>
            <w:r>
              <w:rPr>
                <w:color w:val="333333"/>
                <w:sz w:val="20"/>
                <w:szCs w:val="20"/>
              </w:rPr>
              <w:t>Concl.</w:t>
            </w:r>
          </w:p>
        </w:tc>
        <w:tc>
          <w:tcPr>
            <w:tcW w:w="4413" w:type="dxa"/>
            <w:tcBorders>
              <w:top w:val="single" w:sz="2" w:space="0" w:color="CCCCCC"/>
              <w:left w:val="single" w:sz="2" w:space="0" w:color="CCCCCC"/>
              <w:bottom w:val="single" w:sz="2" w:space="0" w:color="CCCCCC"/>
              <w:right w:val="single" w:sz="2" w:space="0" w:color="CCCCCC"/>
            </w:tcBorders>
          </w:tcPr>
          <w:p w14:paraId="1AF9D905" w14:textId="77777777" w:rsidR="002267BB" w:rsidRPr="0088580B" w:rsidRDefault="00000000">
            <w:pPr>
              <w:spacing w:after="40" w:line="276" w:lineRule="auto"/>
              <w:rPr>
                <w:lang w:val="fr-FR"/>
              </w:rPr>
            </w:pPr>
            <w:r>
              <w:rPr>
                <w:color w:val="333333"/>
                <w:sz w:val="20"/>
                <w:szCs w:val="20"/>
                <w:lang w:val="fr-FR"/>
              </w:rPr>
              <w:t>Du protectionnisme IA à la recomposition de l’ordre technologique mondial</w:t>
            </w:r>
          </w:p>
        </w:tc>
        <w:tc>
          <w:tcPr>
            <w:tcW w:w="1599" w:type="dxa"/>
            <w:tcBorders>
              <w:top w:val="single" w:sz="2" w:space="0" w:color="CCCCCC"/>
              <w:left w:val="single" w:sz="2" w:space="0" w:color="CCCCCC"/>
              <w:bottom w:val="single" w:sz="2" w:space="0" w:color="CCCCCC"/>
              <w:right w:val="single" w:sz="2" w:space="0" w:color="CCCCCC"/>
            </w:tcBorders>
          </w:tcPr>
          <w:p w14:paraId="7E075CE5" w14:textId="77777777" w:rsidR="002267BB" w:rsidRDefault="00000000">
            <w:pPr>
              <w:spacing w:after="40" w:line="276" w:lineRule="auto"/>
            </w:pPr>
            <w:r>
              <w:rPr>
                <w:color w:val="333333"/>
                <w:sz w:val="20"/>
                <w:szCs w:val="20"/>
              </w:rPr>
              <w:t>~8</w:t>
            </w:r>
          </w:p>
        </w:tc>
        <w:tc>
          <w:tcPr>
            <w:tcW w:w="1614" w:type="dxa"/>
            <w:tcBorders>
              <w:top w:val="single" w:sz="2" w:space="0" w:color="CCCCCC"/>
              <w:left w:val="single" w:sz="2" w:space="0" w:color="CCCCCC"/>
              <w:bottom w:val="single" w:sz="2" w:space="0" w:color="CCCCCC"/>
              <w:right w:val="single" w:sz="2" w:space="0" w:color="CCCCCC"/>
            </w:tcBorders>
          </w:tcPr>
          <w:p w14:paraId="7B83B35A" w14:textId="77777777" w:rsidR="002267BB" w:rsidRDefault="00000000">
            <w:pPr>
              <w:spacing w:after="40" w:line="276" w:lineRule="auto"/>
            </w:pPr>
            <w:r>
              <w:rPr>
                <w:color w:val="333333"/>
                <w:sz w:val="20"/>
                <w:szCs w:val="20"/>
              </w:rPr>
              <w:t>3</w:t>
            </w:r>
          </w:p>
        </w:tc>
      </w:tr>
      <w:tr w:rsidR="002267BB" w14:paraId="09361CB1" w14:textId="77777777">
        <w:tc>
          <w:tcPr>
            <w:tcW w:w="1200" w:type="dxa"/>
            <w:tcBorders>
              <w:top w:val="single" w:sz="2" w:space="0" w:color="CCCCCC"/>
              <w:left w:val="single" w:sz="2" w:space="0" w:color="CCCCCC"/>
              <w:bottom w:val="single" w:sz="2" w:space="0" w:color="CCCCCC"/>
              <w:right w:val="single" w:sz="2" w:space="0" w:color="CCCCCC"/>
            </w:tcBorders>
            <w:shd w:val="clear" w:color="auto" w:fill="EBF5FB"/>
          </w:tcPr>
          <w:p w14:paraId="219A44C6" w14:textId="77777777" w:rsidR="002267BB" w:rsidRDefault="00000000">
            <w:pPr>
              <w:spacing w:after="40" w:line="276" w:lineRule="auto"/>
            </w:pPr>
            <w:r>
              <w:rPr>
                <w:b/>
                <w:bCs/>
                <w:color w:val="333333"/>
                <w:sz w:val="20"/>
                <w:szCs w:val="20"/>
              </w:rPr>
              <w:t>TOTAL</w:t>
            </w:r>
          </w:p>
        </w:tc>
        <w:tc>
          <w:tcPr>
            <w:tcW w:w="4413" w:type="dxa"/>
            <w:tcBorders>
              <w:top w:val="single" w:sz="2" w:space="0" w:color="CCCCCC"/>
              <w:left w:val="single" w:sz="2" w:space="0" w:color="CCCCCC"/>
              <w:bottom w:val="single" w:sz="2" w:space="0" w:color="CCCCCC"/>
              <w:right w:val="single" w:sz="2" w:space="0" w:color="CCCCCC"/>
            </w:tcBorders>
            <w:shd w:val="clear" w:color="auto" w:fill="EBF5FB"/>
          </w:tcPr>
          <w:p w14:paraId="364D252A" w14:textId="77777777" w:rsidR="002267BB" w:rsidRDefault="002267BB">
            <w:pPr>
              <w:spacing w:after="40" w:line="276" w:lineRule="auto"/>
            </w:pPr>
          </w:p>
        </w:tc>
        <w:tc>
          <w:tcPr>
            <w:tcW w:w="1599" w:type="dxa"/>
            <w:tcBorders>
              <w:top w:val="single" w:sz="2" w:space="0" w:color="CCCCCC"/>
              <w:left w:val="single" w:sz="2" w:space="0" w:color="CCCCCC"/>
              <w:bottom w:val="single" w:sz="2" w:space="0" w:color="CCCCCC"/>
              <w:right w:val="single" w:sz="2" w:space="0" w:color="CCCCCC"/>
            </w:tcBorders>
            <w:shd w:val="clear" w:color="auto" w:fill="EBF5FB"/>
          </w:tcPr>
          <w:p w14:paraId="48978FCD" w14:textId="77777777" w:rsidR="002267BB" w:rsidRDefault="00000000">
            <w:pPr>
              <w:spacing w:after="40" w:line="276" w:lineRule="auto"/>
            </w:pPr>
            <w:r>
              <w:rPr>
                <w:b/>
                <w:bCs/>
                <w:color w:val="333333"/>
                <w:sz w:val="20"/>
                <w:szCs w:val="20"/>
              </w:rPr>
              <w:t>~103</w:t>
            </w:r>
          </w:p>
        </w:tc>
        <w:tc>
          <w:tcPr>
            <w:tcW w:w="1614" w:type="dxa"/>
            <w:tcBorders>
              <w:top w:val="single" w:sz="2" w:space="0" w:color="CCCCCC"/>
              <w:left w:val="single" w:sz="2" w:space="0" w:color="CCCCCC"/>
              <w:bottom w:val="single" w:sz="2" w:space="0" w:color="CCCCCC"/>
              <w:right w:val="single" w:sz="2" w:space="0" w:color="CCCCCC"/>
            </w:tcBorders>
            <w:shd w:val="clear" w:color="auto" w:fill="EBF5FB"/>
          </w:tcPr>
          <w:p w14:paraId="7974999D" w14:textId="77777777" w:rsidR="002267BB" w:rsidRDefault="00000000">
            <w:pPr>
              <w:spacing w:after="40" w:line="276" w:lineRule="auto"/>
            </w:pPr>
            <w:r>
              <w:rPr>
                <w:b/>
                <w:bCs/>
                <w:color w:val="333333"/>
                <w:sz w:val="20"/>
                <w:szCs w:val="20"/>
              </w:rPr>
              <w:t>157</w:t>
            </w:r>
          </w:p>
        </w:tc>
      </w:tr>
    </w:tbl>
    <w:p w14:paraId="7BF76121" w14:textId="77777777" w:rsidR="002267BB" w:rsidRDefault="002267BB">
      <w:pPr>
        <w:spacing w:after="80"/>
      </w:pPr>
    </w:p>
    <w:p w14:paraId="5C561CFB" w14:textId="77777777" w:rsidR="002267BB" w:rsidRPr="0088580B" w:rsidRDefault="00000000">
      <w:pPr>
        <w:spacing w:after="160" w:line="312" w:lineRule="auto"/>
        <w:rPr>
          <w:lang w:val="fr-FR"/>
        </w:rPr>
      </w:pPr>
      <w:r>
        <w:rPr>
          <w:b/>
          <w:bCs/>
          <w:color w:val="333333"/>
          <w:sz w:val="20"/>
          <w:szCs w:val="20"/>
          <w:lang w:val="fr-FR"/>
        </w:rPr>
        <w:t>Tableau 19.</w:t>
      </w:r>
      <w:r>
        <w:rPr>
          <w:i/>
          <w:iCs/>
          <w:color w:val="333333"/>
          <w:sz w:val="20"/>
          <w:szCs w:val="20"/>
          <w:lang w:val="fr-FR"/>
        </w:rPr>
        <w:t xml:space="preserve"> Récapitulatif des chapitres, volume et appareil critique de l’étude.</w:t>
      </w:r>
    </w:p>
    <w:p w14:paraId="6EA2BBE5" w14:textId="77777777" w:rsidR="002267BB" w:rsidRPr="0088580B" w:rsidRDefault="002267BB">
      <w:pPr>
        <w:spacing w:after="80"/>
        <w:rPr>
          <w:lang w:val="fr-FR"/>
        </w:rPr>
      </w:pPr>
    </w:p>
    <w:p w14:paraId="740F43EA" w14:textId="77777777" w:rsidR="002267BB" w:rsidRDefault="00000000">
      <w:pPr>
        <w:spacing w:after="160" w:line="312" w:lineRule="auto"/>
        <w:jc w:val="both"/>
      </w:pPr>
      <w:r>
        <w:rPr>
          <w:b/>
          <w:bCs/>
          <w:color w:val="333333"/>
          <w:lang w:val="fr-FR"/>
        </w:rPr>
        <w:t xml:space="preserve">Sources principales mobilisées : </w:t>
      </w:r>
      <w:r>
        <w:rPr>
          <w:color w:val="555555"/>
          <w:sz w:val="20"/>
          <w:szCs w:val="20"/>
          <w:lang w:val="fr-FR"/>
        </w:rPr>
        <w:t xml:space="preserve">IEA, McKinsey, Bruegel, Brookings, Carnegie Endowment, Commission européenne, White House/BIS, Parlement européen, CSIS, S&amp;P Global, Epoch AI, Centre for Future Generations (CFG), Euronews, CEPALC/CENIA (ILIA 2025), World Bank, Futurum, Introl, World Nuclear News, Arizton, Pillsbury Law, ITIF, Foreign Policy, Hudson Institute. </w:t>
      </w:r>
      <w:r>
        <w:rPr>
          <w:color w:val="555555"/>
          <w:sz w:val="20"/>
          <w:szCs w:val="20"/>
        </w:rPr>
        <w:t>Données complémentaires : Bloomberg, DCD, Morgan Lewis, Tom’s Hardware, Mordor Intelligence, Serrari Group, Data Center Knowledge.</w:t>
      </w:r>
    </w:p>
    <w:sectPr w:rsidR="002267BB">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80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9BC67" w14:textId="77777777" w:rsidR="00205549" w:rsidRDefault="00205549">
      <w:r>
        <w:separator/>
      </w:r>
    </w:p>
  </w:endnote>
  <w:endnote w:type="continuationSeparator" w:id="0">
    <w:p w14:paraId="265210A5" w14:textId="77777777" w:rsidR="00205549" w:rsidRDefault="00205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0B97A" w14:textId="77777777" w:rsidR="002267BB" w:rsidRDefault="002267B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2AA73" w14:textId="77777777" w:rsidR="002267BB" w:rsidRDefault="00000000">
    <w:pPr>
      <w:pBdr>
        <w:top w:val="single" w:sz="2" w:space="4" w:color="CCCCCC"/>
      </w:pBdr>
      <w:jc w:val="center"/>
    </w:pPr>
    <w:r>
      <w:rPr>
        <w:color w:val="555555"/>
        <w:sz w:val="16"/>
        <w:szCs w:val="16"/>
      </w:rPr>
      <w:t xml:space="preserve">AI for Americans First — Fabrice Pizzi — Page </w:t>
    </w:r>
    <w:r>
      <w:rPr>
        <w:color w:val="555555"/>
        <w:sz w:val="20"/>
        <w:szCs w:val="20"/>
      </w:rPr>
      <w:fldChar w:fldCharType="begin"/>
    </w:r>
    <w:r>
      <w:rPr>
        <w:color w:val="555555"/>
        <w:sz w:val="20"/>
        <w:szCs w:val="20"/>
      </w:rPr>
      <w:instrText xml:space="preserve"> PAGE </w:instrText>
    </w:r>
    <w:r>
      <w:rPr>
        <w:color w:val="555555"/>
        <w:sz w:val="20"/>
        <w:szCs w:val="20"/>
      </w:rPr>
      <w:fldChar w:fldCharType="separate"/>
    </w:r>
    <w:r>
      <w:rPr>
        <w:color w:val="555555"/>
        <w:sz w:val="20"/>
        <w:szCs w:val="20"/>
      </w:rPr>
      <w:t>9</w:t>
    </w:r>
    <w:r>
      <w:rPr>
        <w:color w:val="555555"/>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FDBE9" w14:textId="77777777" w:rsidR="002267BB" w:rsidRDefault="00000000">
    <w:pPr>
      <w:pBdr>
        <w:top w:val="single" w:sz="2" w:space="4" w:color="CCCCCC"/>
      </w:pBdr>
      <w:jc w:val="center"/>
    </w:pPr>
    <w:r>
      <w:rPr>
        <w:color w:val="555555"/>
        <w:sz w:val="16"/>
        <w:szCs w:val="16"/>
      </w:rPr>
      <w:t xml:space="preserve">AI for Americans First — Fabrice Pizzi — Page </w:t>
    </w:r>
    <w:r>
      <w:rPr>
        <w:color w:val="555555"/>
        <w:sz w:val="20"/>
        <w:szCs w:val="20"/>
      </w:rPr>
      <w:fldChar w:fldCharType="begin"/>
    </w:r>
    <w:r>
      <w:rPr>
        <w:color w:val="555555"/>
        <w:sz w:val="20"/>
        <w:szCs w:val="20"/>
      </w:rPr>
      <w:instrText xml:space="preserve"> PAGE </w:instrText>
    </w:r>
    <w:r>
      <w:rPr>
        <w:color w:val="555555"/>
        <w:sz w:val="20"/>
        <w:szCs w:val="20"/>
      </w:rPr>
      <w:fldChar w:fldCharType="separate"/>
    </w:r>
    <w:r>
      <w:rPr>
        <w:color w:val="555555"/>
        <w:sz w:val="20"/>
        <w:szCs w:val="20"/>
      </w:rPr>
      <w:t>9</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3D8EB" w14:textId="77777777" w:rsidR="00205549" w:rsidRDefault="00205549">
      <w:r>
        <w:separator/>
      </w:r>
    </w:p>
  </w:footnote>
  <w:footnote w:type="continuationSeparator" w:id="0">
    <w:p w14:paraId="70B67F8F" w14:textId="77777777" w:rsidR="00205549" w:rsidRDefault="00205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7F525" w14:textId="77777777" w:rsidR="002267BB" w:rsidRDefault="002267B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D17C8" w14:textId="77777777" w:rsidR="002267BB" w:rsidRDefault="00000000">
    <w:pPr>
      <w:pBdr>
        <w:bottom w:val="single" w:sz="2" w:space="4" w:color="2E75B6"/>
      </w:pBdr>
    </w:pPr>
    <w:r>
      <w:rPr>
        <w:i/>
        <w:iCs/>
        <w:color w:val="2E75B6"/>
        <w:sz w:val="16"/>
        <w:szCs w:val="16"/>
      </w:rPr>
      <w:t xml:space="preserve">Conclusion </w:t>
    </w:r>
    <w:proofErr w:type="spellStart"/>
    <w:r>
      <w:rPr>
        <w:i/>
        <w:iCs/>
        <w:color w:val="2E75B6"/>
        <w:sz w:val="16"/>
        <w:szCs w:val="16"/>
      </w:rPr>
      <w:t>générale</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21280" w14:textId="77777777" w:rsidR="002267BB" w:rsidRDefault="00000000">
    <w:pPr>
      <w:pBdr>
        <w:bottom w:val="single" w:sz="2" w:space="4" w:color="2E75B6"/>
      </w:pBdr>
    </w:pPr>
    <w:r>
      <w:rPr>
        <w:i/>
        <w:iCs/>
        <w:color w:val="2E75B6"/>
        <w:sz w:val="16"/>
        <w:szCs w:val="16"/>
      </w:rPr>
      <w:t xml:space="preserve">Conclusion </w:t>
    </w:r>
    <w:proofErr w:type="spellStart"/>
    <w:r>
      <w:rPr>
        <w:i/>
        <w:iCs/>
        <w:color w:val="2E75B6"/>
        <w:sz w:val="16"/>
        <w:szCs w:val="16"/>
      </w:rPr>
      <w:t>générale</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7BB"/>
    <w:rsid w:val="00080432"/>
    <w:rsid w:val="00205549"/>
    <w:rsid w:val="002267BB"/>
    <w:rsid w:val="0088580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96EB"/>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Heading"/>
    <w:uiPriority w:val="9"/>
    <w:qFormat/>
    <w:pPr>
      <w:spacing w:before="400" w:after="240"/>
      <w:outlineLvl w:val="0"/>
    </w:pPr>
    <w:rPr>
      <w:rFonts w:ascii="Georgia" w:eastAsia="Georgia" w:hAnsi="Georgia" w:cs="Georgia"/>
      <w:b/>
      <w:bCs/>
      <w:color w:val="1B3A5C"/>
      <w:sz w:val="32"/>
      <w:szCs w:val="32"/>
    </w:rPr>
  </w:style>
  <w:style w:type="paragraph" w:styleId="Titre2">
    <w:name w:val="heading 2"/>
    <w:basedOn w:val="Heading"/>
    <w:uiPriority w:val="9"/>
    <w:unhideWhenUsed/>
    <w:qFormat/>
    <w:pPr>
      <w:spacing w:before="320" w:after="160"/>
      <w:outlineLvl w:val="1"/>
    </w:pPr>
    <w:rPr>
      <w:rFonts w:ascii="Georgia" w:eastAsia="Georgia" w:hAnsi="Georgia" w:cs="Georgia"/>
      <w:b/>
      <w:bCs/>
      <w:color w:val="2E75B6"/>
      <w:sz w:val="26"/>
      <w:szCs w:val="26"/>
    </w:rPr>
  </w:style>
  <w:style w:type="paragraph" w:styleId="Titre3">
    <w:name w:val="heading 3"/>
    <w:basedOn w:val="Heading"/>
    <w:uiPriority w:val="9"/>
    <w:unhideWhenUsed/>
    <w:qFormat/>
    <w:pPr>
      <w:outlineLvl w:val="2"/>
    </w:pPr>
    <w:rPr>
      <w:rFonts w:ascii="Georgia" w:eastAsia="Georgia" w:hAnsi="Georgia" w:cs="Georgia"/>
      <w:b/>
      <w:bCs/>
      <w:i/>
      <w:iCs/>
      <w:color w:val="1B3A5C"/>
      <w:sz w:val="23"/>
      <w:szCs w:val="23"/>
    </w:rPr>
  </w:style>
  <w:style w:type="paragraph" w:styleId="Titre4">
    <w:name w:val="heading 4"/>
    <w:basedOn w:val="Heading"/>
    <w:uiPriority w:val="9"/>
    <w:semiHidden/>
    <w:unhideWhenUsed/>
    <w:qFormat/>
    <w:pPr>
      <w:outlineLvl w:val="3"/>
    </w:pPr>
    <w:rPr>
      <w:i/>
      <w:iCs/>
      <w:color w:val="2E74B5"/>
    </w:rPr>
  </w:style>
  <w:style w:type="paragraph" w:styleId="Titre5">
    <w:name w:val="heading 5"/>
    <w:basedOn w:val="Heading"/>
    <w:uiPriority w:val="9"/>
    <w:semiHidden/>
    <w:unhideWhenUsed/>
    <w:qFormat/>
    <w:pPr>
      <w:outlineLvl w:val="4"/>
    </w:pPr>
    <w:rPr>
      <w:color w:val="2E74B5"/>
    </w:rPr>
  </w:style>
  <w:style w:type="paragraph" w:styleId="Titre6">
    <w:name w:val="heading 6"/>
    <w:basedOn w:val="Heading"/>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ppelnotedebasdep">
    <w:name w:val="footnote reference"/>
    <w:rPr>
      <w:vertAlign w:val="superscript"/>
    </w:rPr>
  </w:style>
  <w:style w:type="character" w:customStyle="1" w:styleId="NotedebasdepageCar">
    <w:name w:val="Note de bas de page Car"/>
    <w:link w:val="Notedebasdepag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ppeldenotedefin">
    <w:name w:val="endnote reference"/>
    <w:rPr>
      <w:vertAlign w:val="superscript"/>
    </w:rPr>
  </w:style>
  <w:style w:type="character" w:customStyle="1" w:styleId="NotedefinCar">
    <w:name w:val="Note de fin Car"/>
    <w:link w:val="Notedefin"/>
    <w:uiPriority w:val="99"/>
    <w:semiHidden/>
    <w:unhideWhenUsed/>
    <w:qFormat/>
    <w:rPr>
      <w:sz w:val="20"/>
      <w:szCs w:val="20"/>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Heading"/>
    <w:uiPriority w:val="10"/>
    <w:qFormat/>
    <w:rPr>
      <w:sz w:val="56"/>
      <w:szCs w:val="56"/>
    </w:rPr>
  </w:style>
  <w:style w:type="paragraph" w:customStyle="1" w:styleId="StrongEmphasis">
    <w:name w:val="Strong Emphasis"/>
    <w:qFormat/>
    <w:rPr>
      <w:b/>
      <w:bCs/>
    </w:rPr>
  </w:style>
  <w:style w:type="paragraph" w:styleId="Paragraphedeliste">
    <w:name w:val="List Paragraph"/>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customStyle="1" w:styleId="HeaderandFooter">
    <w:name w:val="Header and Footer"/>
    <w:basedOn w:val="Normal"/>
    <w:qFormat/>
  </w:style>
  <w:style w:type="paragraph" w:styleId="En-tte">
    <w:name w:val="header"/>
    <w:basedOn w:val="HeaderandFooter"/>
  </w:style>
  <w:style w:type="paragraph" w:styleId="Pieddepag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9</Pages>
  <Words>2351</Words>
  <Characters>12931</Characters>
  <Application>Microsoft Office Word</Application>
  <DocSecurity>0</DocSecurity>
  <Lines>107</Lines>
  <Paragraphs>30</Paragraphs>
  <ScaleCrop>false</ScaleCrop>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fabrice pizzi</cp:lastModifiedBy>
  <cp:revision>4</cp:revision>
  <dcterms:created xsi:type="dcterms:W3CDTF">2026-02-24T10:23:00Z</dcterms:created>
  <dcterms:modified xsi:type="dcterms:W3CDTF">2026-02-26T09:30:00Z</dcterms:modified>
  <dc:language>en-US</dc:language>
</cp:coreProperties>
</file>