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E8D68" w14:textId="77777777" w:rsidR="007D4E8B" w:rsidRDefault="00A11B27">
      <w:pPr>
        <w:spacing w:after="80"/>
        <w:jc w:val="center"/>
      </w:pPr>
      <w:r>
        <w:rPr>
          <w:b/>
          <w:bCs/>
          <w:color w:val="1A1A1A"/>
          <w:sz w:val="32"/>
          <w:szCs w:val="32"/>
        </w:rPr>
        <w:t>L'IA comme amplificateur de méthode</w:t>
      </w:r>
    </w:p>
    <w:p w14:paraId="25539930" w14:textId="77777777" w:rsidR="007D4E8B" w:rsidRDefault="00A11B27">
      <w:pPr>
        <w:spacing w:after="200"/>
        <w:jc w:val="center"/>
      </w:pPr>
      <w:r>
        <w:rPr>
          <w:i/>
          <w:iCs/>
          <w:color w:val="333333"/>
          <w:sz w:val="24"/>
          <w:szCs w:val="24"/>
        </w:rPr>
        <w:t>Pourquoi la compétence rare de l'économie IA sera le cadrage, pas la production</w:t>
      </w:r>
    </w:p>
    <w:p w14:paraId="13288814" w14:textId="77777777" w:rsidR="007D4E8B" w:rsidRDefault="00A11B27">
      <w:pPr>
        <w:spacing w:after="40"/>
        <w:jc w:val="center"/>
      </w:pPr>
      <w:r>
        <w:rPr>
          <w:b/>
          <w:bCs/>
          <w:sz w:val="24"/>
          <w:szCs w:val="24"/>
        </w:rPr>
        <w:t>Fabrice Pizzi</w:t>
      </w:r>
    </w:p>
    <w:p w14:paraId="14F91F3D" w14:textId="77777777" w:rsidR="007D4E8B" w:rsidRDefault="00A11B27">
      <w:pPr>
        <w:spacing w:after="40"/>
        <w:jc w:val="center"/>
      </w:pPr>
      <w:r>
        <w:rPr>
          <w:color w:val="333333"/>
          <w:sz w:val="20"/>
          <w:szCs w:val="20"/>
        </w:rPr>
        <w:t>Université Paris Sorbonne — Intelligence Économique et Cybersécurité</w:t>
      </w:r>
    </w:p>
    <w:p w14:paraId="343034F0" w14:textId="77777777" w:rsidR="007D4E8B" w:rsidRDefault="00A11B27">
      <w:pPr>
        <w:spacing w:after="40"/>
        <w:jc w:val="center"/>
      </w:pPr>
      <w:r>
        <w:rPr>
          <w:color w:val="333333"/>
          <w:sz w:val="20"/>
          <w:szCs w:val="20"/>
        </w:rPr>
        <w:t>CISSP | Fondateur de LIA-Scan | Chercheur en sécurité des agents IA autonomes</w:t>
      </w:r>
    </w:p>
    <w:p w14:paraId="386BA37E" w14:textId="77777777" w:rsidR="007D4E8B" w:rsidRDefault="00A11B27">
      <w:pPr>
        <w:spacing w:after="300"/>
        <w:jc w:val="center"/>
      </w:pPr>
      <w:r>
        <w:rPr>
          <w:i/>
          <w:iCs/>
          <w:color w:val="666666"/>
          <w:sz w:val="20"/>
          <w:szCs w:val="20"/>
        </w:rPr>
        <w:t>Mars 2026</w:t>
      </w:r>
    </w:p>
    <w:p w14:paraId="146BFD7B" w14:textId="77777777" w:rsidR="007D4E8B" w:rsidRDefault="007D4E8B">
      <w:pPr>
        <w:pBdr>
          <w:bottom w:val="single" w:sz="4" w:space="1" w:color="999999"/>
        </w:pBdr>
        <w:spacing w:after="200"/>
      </w:pPr>
    </w:p>
    <w:p w14:paraId="0DE80FF5" w14:textId="77777777" w:rsidR="007D4E8B" w:rsidRDefault="00A11B27">
      <w:pPr>
        <w:spacing w:before="100" w:after="80"/>
      </w:pPr>
      <w:r>
        <w:rPr>
          <w:b/>
          <w:bCs/>
        </w:rPr>
        <w:t>Résumé</w:t>
      </w:r>
    </w:p>
    <w:p w14:paraId="1AB8ED4B" w14:textId="77777777" w:rsidR="007D4E8B" w:rsidRDefault="00A11B27">
      <w:pPr>
        <w:spacing w:after="160" w:line="280" w:lineRule="auto"/>
        <w:ind w:left="567" w:right="567"/>
        <w:jc w:val="both"/>
      </w:pPr>
      <w:r>
        <w:rPr>
          <w:i/>
          <w:iCs/>
          <w:color w:val="333333"/>
          <w:sz w:val="20"/>
          <w:szCs w:val="20"/>
        </w:rPr>
        <w:t>La démocratisation des outils d'IA générative depuis 2023 a produit un paradoxe : des outils plus puissants ont, dans un premier temps, industrialisé une nouvelle catégorie de médiocrité professionnelle. Cette note de recherche analyse les causes de ce phénomène (absence de méthode de pilotage, déficit de contrôle qualité, confusion entre production et validation) et propose un cadre d'analyse fondé sur le concept d'ingénierie comportementale du modèle. En s'appuyant sur un cas d'usage concret (LIA-Scan, plateforme d'audit cybersécurité, 160+ frameworks) et sur le modèle à cinq couches de Jensen Huang (énergie, puces, infrastructure, modèles, applications), la note démontre que la compétence rare dans l'économie IA ne sera pas la capacité à produire, mais la capacité à cadrer, vérifier, orchestrer et arbitrer les sorties de modèles à cadence industrielle. Le concept d'économie de densité cognitive est introduit pour désigner ce nouveau régime de travail.</w:t>
      </w:r>
    </w:p>
    <w:p w14:paraId="43740E11" w14:textId="77777777" w:rsidR="007D4E8B" w:rsidRDefault="00A11B27">
      <w:pPr>
        <w:spacing w:after="200" w:line="280" w:lineRule="auto"/>
        <w:ind w:left="567" w:right="567"/>
      </w:pPr>
      <w:r>
        <w:rPr>
          <w:b/>
          <w:bCs/>
          <w:sz w:val="20"/>
          <w:szCs w:val="20"/>
        </w:rPr>
        <w:t xml:space="preserve">Mots-clés : </w:t>
      </w:r>
      <w:r>
        <w:rPr>
          <w:sz w:val="20"/>
          <w:szCs w:val="20"/>
        </w:rPr>
        <w:t>ingénierie comportementale, IA générative, cadrage, densité cognitive, pipeline agentique, audit cybersécurité, LIA-Scan, méthode, CACI</w:t>
      </w:r>
    </w:p>
    <w:p w14:paraId="564C8860" w14:textId="77777777" w:rsidR="007D4E8B" w:rsidRDefault="007D4E8B">
      <w:pPr>
        <w:pBdr>
          <w:bottom w:val="single" w:sz="4" w:space="1" w:color="999999"/>
        </w:pBdr>
        <w:spacing w:after="200"/>
      </w:pPr>
    </w:p>
    <w:p w14:paraId="5118C1C9" w14:textId="77777777" w:rsidR="007D4E8B" w:rsidRDefault="00A11B27">
      <w:pPr>
        <w:pStyle w:val="Titre1"/>
      </w:pPr>
      <w:r>
        <w:t>1. Le paradoxe de la première phase : puissance d'outil, pauvreté de méthode</w:t>
      </w:r>
    </w:p>
    <w:p w14:paraId="3DCF1FF9" w14:textId="77777777" w:rsidR="007D4E8B" w:rsidRDefault="00A11B27">
      <w:pPr>
        <w:spacing w:after="160"/>
        <w:jc w:val="both"/>
      </w:pPr>
      <w:r>
        <w:t>Depuis 2023, la démocratisation rapide des LLM et des outils d'IA générative a mis des capacités de production considérables entre les mains de professionnels qui ne disposaient d'aucune méthode structurée pour les piloter. Le résultat, largement documenté dans la littérature et dans les retours d'expérience industriels, est prévisible : analyses superficielles, code fragile, synthèses plausibles mais creuses, livrables qui passent les revues initiales mais échouent en production.</w:t>
      </w:r>
    </w:p>
    <w:p w14:paraId="4E0A7922" w14:textId="77777777" w:rsidR="007D4E8B" w:rsidRDefault="00A11B27">
      <w:pPr>
        <w:spacing w:after="160"/>
        <w:jc w:val="both"/>
      </w:pPr>
      <w:r>
        <w:t>Ce phénomène a été massivement attribué aux « hallucinations » des modèles. Or, une analyse plus rigoureuse montre qu'une large part du problème relève de l'humain : absence de cadrage du problème en amont, absence de vérification des sorties, absence de comparaison entre sources, absence de questionnement critique. La machine a amplifié une mauvaise méthode de travail. Elle ne l'a pas créée.</w:t>
      </w:r>
    </w:p>
    <w:p w14:paraId="02D5F9DA" w14:textId="77777777" w:rsidR="007D4E8B" w:rsidRDefault="00A11B27">
      <w:pPr>
        <w:spacing w:after="160"/>
        <w:jc w:val="both"/>
      </w:pPr>
      <w:r>
        <w:t>Cette phase va se terminer, non pas parce que les modèles seront parfaits, mais parce que les organisations vont apprendre, souvent à un coût élevé, ce que représente un livrable IA non contrôlé déployé en environnement de production, notamment dans les contextes à forte exigence : sécurité, finance, santé, droit, décision stratégique.</w:t>
      </w:r>
    </w:p>
    <w:p w14:paraId="65DED445" w14:textId="77777777" w:rsidR="007D4E8B" w:rsidRDefault="00A11B27">
      <w:pPr>
        <w:pStyle w:val="Titre1"/>
      </w:pPr>
      <w:r>
        <w:t>2. Le modèle à cinq couches et la chaîne de dépendances</w:t>
      </w:r>
    </w:p>
    <w:p w14:paraId="30823E20" w14:textId="77777777" w:rsidR="007D4E8B" w:rsidRDefault="00A11B27">
      <w:pPr>
        <w:spacing w:after="160"/>
        <w:jc w:val="both"/>
      </w:pPr>
      <w:r>
        <w:lastRenderedPageBreak/>
        <w:t>Jensen Huang a proposé, au GTC de San José (mars 2026), un modèle à cinq couches pour décrire l'infrastructure IA : énergie, puces, infrastructure physique, modèles et applications. [1] Ce modèle exprime une réalité souvent ignorée dans le débat sur l'IA : derrière chaque output IA se cache une chaîne de dépendances industrielles complète. Cette chaîne coûte, elle contraint, et elle crée des asymétries massives entre ceux qui la contrôlent et ceux qui en dépendent.</w:t>
      </w:r>
    </w:p>
    <w:p w14:paraId="0F96210D" w14:textId="77777777" w:rsidR="007D4E8B" w:rsidRDefault="00A11B27">
      <w:pPr>
        <w:spacing w:after="160"/>
        <w:jc w:val="both"/>
      </w:pPr>
      <w:r>
        <w:t xml:space="preserve">L'indice CACI (Competitive Advantage of Compute Index), construit dans le cadre de la recherche </w:t>
      </w:r>
      <w:r>
        <w:rPr>
          <w:i/>
          <w:iCs/>
        </w:rPr>
        <w:t>AI for Americans First</w:t>
      </w:r>
      <w:r>
        <w:t xml:space="preserve"> (Pizzi, Sorbonne, 2026), quantifie cette asymétrie en intégrant quatre dimensions : énergie, semi-conducteurs, compute et régulation. Le ratio US/EU se situe à 3.4:1 (mode Power). [2]</w:t>
      </w:r>
    </w:p>
    <w:p w14:paraId="0D7EB7E2" w14:textId="77777777" w:rsidR="007D4E8B" w:rsidRDefault="00A11B27">
      <w:pPr>
        <w:spacing w:after="160"/>
        <w:jc w:val="both"/>
      </w:pPr>
      <w:r>
        <w:t>Ce ratio a une conséquence directe sur le monde du travail : les professionnels qui opèrent dans des écosystèmes structurellement sous-dotés en compute devront compenser par une maîtrise opérationnelle supérieure. La ressource rare ne sera pas l'accès à l'outil. Ce sera la capacité à en tirer un résultat fiable malgré les contraintes.</w:t>
      </w:r>
    </w:p>
    <w:p w14:paraId="51610981" w14:textId="77777777" w:rsidR="007D4E8B" w:rsidRDefault="00A11B27">
      <w:pPr>
        <w:pStyle w:val="Titre1"/>
      </w:pPr>
      <w:r>
        <w:t>3. Redistribution des compétences : méthode contre ancienneté</w:t>
      </w:r>
    </w:p>
    <w:p w14:paraId="12B680BE" w14:textId="77777777" w:rsidR="007D4E8B" w:rsidRDefault="00A11B27">
      <w:pPr>
        <w:spacing w:after="160"/>
        <w:jc w:val="both"/>
      </w:pPr>
      <w:r>
        <w:t>L'IA redistribue les avantages concurrentiels de façon contre-intuitive. L'ancienneté brute, définie comme l'accumulation d'expérience sans structure de raisonnement explicite, perd de sa valeur relative. Un professionnel expérimenté qui pilote l'IA de façon approximative sera dépassé par un profil junior doté d'une structure de réflexion rigoureuse : capable de décomposer un problème, d'orchestrer plusieurs outils en parallèle, de comparer leurs sorties, d'identifier les angles morts et de valider avant de livrer.</w:t>
      </w:r>
    </w:p>
    <w:p w14:paraId="7E75BB8E" w14:textId="77777777" w:rsidR="007D4E8B" w:rsidRDefault="00A11B27">
      <w:pPr>
        <w:spacing w:after="160"/>
        <w:jc w:val="both"/>
      </w:pPr>
      <w:r>
        <w:t>Ce constat rejoint un principe pédagogique plus large : un esprit bien construit et rigoureux sera toujours supérieur à un esprit plein d'informations et d'expérience mais qui ne dispose pas de ce schéma de fonctionnement. L'IA ne modifie pas cette vérité. Elle l'accélère et la rend plus visible qu'elle ne l'a jamais été. L'avantage n'est pas lié à l'âge ni au titre. Il est lié à la méthode.</w:t>
      </w:r>
    </w:p>
    <w:p w14:paraId="05A9422E" w14:textId="77777777" w:rsidR="007D4E8B" w:rsidRDefault="00A11B27">
      <w:pPr>
        <w:pStyle w:val="Titre1"/>
      </w:pPr>
      <w:r>
        <w:t>4. Ingénierie comportementale du modèle : illustration par LIA-Scan</w:t>
      </w:r>
    </w:p>
    <w:p w14:paraId="495CA179" w14:textId="77777777" w:rsidR="007D4E8B" w:rsidRDefault="00A11B27">
      <w:pPr>
        <w:spacing w:after="160"/>
        <w:jc w:val="both"/>
      </w:pPr>
      <w:r>
        <w:t>LIA-Scan est une plateforme d'audit de configuration cybersécurité couvrant plus de 200 technologies et 160+ frameworks (GRC, SMSI). Pour automatiser la génération de règles de détection CVE, un pipeline nocturne agentique a été conçu via n8n. [3]</w:t>
      </w:r>
    </w:p>
    <w:p w14:paraId="01AB72BB" w14:textId="77777777" w:rsidR="007D4E8B" w:rsidRDefault="00A11B27">
      <w:pPr>
        <w:spacing w:after="160"/>
        <w:jc w:val="both"/>
      </w:pPr>
      <w:r>
        <w:t>L'agent ne produit pas une règle YAML en sortie directe. Il traverse une boucle structurée obligatoire : décomposition du problème, planification de l'approche, action de génération, observation du résultat, évaluation avec scoring explicite. Ce scoring fonctionne comme un signal de contrôle de flux : sous un certain seuil, l'agent repart en boucle, replanifie et change d'approche en intégrant une phase de retour d'expérience. Au-dessus du seuil, la règle est committée. Le journal de chaque action est append-only et auditable.</w:t>
      </w:r>
    </w:p>
    <w:p w14:paraId="295D2642" w14:textId="77777777" w:rsidR="007D4E8B" w:rsidRDefault="00A11B27">
      <w:pPr>
        <w:spacing w:after="160"/>
        <w:jc w:val="both"/>
      </w:pPr>
      <w:r>
        <w:t>Sans ce mécanisme, le taux de règles inexploitables en production était inacceptable. Avec lui, le pipeline produit des règles testables, traçables, déployables sur des environnements bancaires (DORA, NIS2/ReCyF). Lorsqu'une règle échoue, l'erreur est localisable dans le journal à l'étape précise où le raisonnement a dévié.</w:t>
      </w:r>
    </w:p>
    <w:p w14:paraId="75917FE7" w14:textId="77777777" w:rsidR="007D4E8B" w:rsidRDefault="00A11B27">
      <w:pPr>
        <w:spacing w:after="160"/>
        <w:jc w:val="both"/>
      </w:pPr>
      <w:r>
        <w:lastRenderedPageBreak/>
        <w:t>Ce n'est pas de l'utilisation d'IA. C'est de l'ingénierie comportementale du modèle : la conception de contraintes structurelles qui forcent le modèle à produire de façon contrôlée, évaluable et traçable. C'est précisément cette compétence que l'économie de l'IA va rendre rare et valorisée.</w:t>
      </w:r>
    </w:p>
    <w:p w14:paraId="69E4AE29" w14:textId="77777777" w:rsidR="007D4E8B" w:rsidRDefault="00A11B27">
      <w:pPr>
        <w:pStyle w:val="Titre1"/>
      </w:pPr>
      <w:r>
        <w:t>5. Économie de densité cognitive : définition et portée</w:t>
      </w:r>
    </w:p>
    <w:p w14:paraId="04FA54CF" w14:textId="77777777" w:rsidR="007D4E8B" w:rsidRDefault="00A11B27">
      <w:pPr>
        <w:spacing w:after="160"/>
        <w:jc w:val="both"/>
      </w:pPr>
      <w:r>
        <w:t>Le travail ne disparaît pas avec l'IA. Il se déplace : du faire vers le cadrer, vérifier, orchestrer et arbitrer. Les organisations qui s'habituent à des livrables IA de qualité relèvent le niveau attendu de façon permanente. Le volume supplémentaire produit par l'IA ne sera pas synonyme de confort : il sera synonyme d'exigence accrue en continu.</w:t>
      </w:r>
    </w:p>
    <w:p w14:paraId="12942A9F" w14:textId="77777777" w:rsidR="007D4E8B" w:rsidRDefault="00A11B27">
      <w:pPr>
        <w:spacing w:after="160"/>
        <w:jc w:val="both"/>
      </w:pPr>
      <w:r>
        <w:t>Le concept d'économie de densité cognitive désigne ce nouveau régime : une économie où la compétence rare n'est pas la capacité à produire, mais la capacité à produire juste, de façon cohérente, à une cadence industrielle, avec une traçabilité complète. La puissance de l'outil amplifie les erreurs de cadrage autant qu'elle amplifie les bonnes décisions.</w:t>
      </w:r>
    </w:p>
    <w:p w14:paraId="5933C9B0" w14:textId="77777777" w:rsidR="007D4E8B" w:rsidRDefault="00A11B27">
      <w:pPr>
        <w:spacing w:after="160"/>
        <w:jc w:val="both"/>
      </w:pPr>
      <w:r>
        <w:t>Ce concept admet une double lecture. Au niveau individuel et organisationnel, il décrit l'intensification du travail cognitif. Au niveau géostratégique (développé dans une note complémentaire [4]), il désigne un nouveau régime de puissance où la richesse d'un pays se mesure par sa capacité à transformer du compute en résultat fiable, vérifiable et souverain.</w:t>
      </w:r>
    </w:p>
    <w:p w14:paraId="32CD3A0F" w14:textId="77777777" w:rsidR="007D4E8B" w:rsidRDefault="00A11B27">
      <w:pPr>
        <w:pStyle w:val="Titre1"/>
      </w:pPr>
      <w:r>
        <w:t>6. Conclusion</w:t>
      </w:r>
    </w:p>
    <w:p w14:paraId="0639121E" w14:textId="77777777" w:rsidR="007D4E8B" w:rsidRDefault="00A11B27">
      <w:pPr>
        <w:spacing w:after="160"/>
        <w:jc w:val="both"/>
      </w:pPr>
      <w:r>
        <w:t>La première phase de déploiement de l'IA générative en entreprise (2023-2026) a mis en évidence un déficit structurel de méthode, masqué par la puissance des outils. La phase suivante sera caractérisée par une montée en exigence dans tous les contextes à forte valeur, où les livrables non contrôlés ne seront plus tolérés.</w:t>
      </w:r>
    </w:p>
    <w:p w14:paraId="5678B302" w14:textId="77777777" w:rsidR="007D4E8B" w:rsidRDefault="00A11B27">
      <w:pPr>
        <w:spacing w:after="160"/>
        <w:jc w:val="both"/>
      </w:pPr>
      <w:r>
        <w:t>La compétence différenciante ne sera pas l'accès à l'IA ni la capacité à produire du volume, mais la maîtrise du cadrage, de la vérification et de l'orchestration des sorties de modèles. L'ingénierie comportementale du modèle, illustrée ici par le cas LIA-Scan, constitue une première formalisation de cette discipline.</w:t>
      </w:r>
    </w:p>
    <w:p w14:paraId="6F7830B6" w14:textId="77777777" w:rsidR="007D4E8B" w:rsidRDefault="00A11B27">
      <w:pPr>
        <w:spacing w:after="160"/>
        <w:jc w:val="both"/>
      </w:pPr>
      <w:r>
        <w:t>Nous n'entrons pas dans une économie de la paresse assistée. Nous entrons dans une économie de densité cognitive, et le niveau d'exigence va continuer à monter aussi vite que les modèles progressent.</w:t>
      </w:r>
    </w:p>
    <w:p w14:paraId="70F19FEA" w14:textId="77777777" w:rsidR="007D4E8B" w:rsidRDefault="007D4E8B">
      <w:pPr>
        <w:pBdr>
          <w:bottom w:val="single" w:sz="2" w:space="1" w:color="999999"/>
        </w:pBdr>
        <w:spacing w:before="400"/>
      </w:pPr>
    </w:p>
    <w:p w14:paraId="0090C022" w14:textId="77777777" w:rsidR="007D4E8B" w:rsidRDefault="00A11B27">
      <w:pPr>
        <w:spacing w:before="200" w:after="120"/>
      </w:pPr>
      <w:r>
        <w:rPr>
          <w:b/>
          <w:bCs/>
        </w:rPr>
        <w:t>Notes</w:t>
      </w:r>
    </w:p>
    <w:p w14:paraId="4C279006" w14:textId="77777777" w:rsidR="007D4E8B" w:rsidRDefault="00A11B27">
      <w:pPr>
        <w:spacing w:after="60" w:line="260" w:lineRule="auto"/>
      </w:pPr>
      <w:r>
        <w:rPr>
          <w:color w:val="666666"/>
          <w:sz w:val="18"/>
          <w:szCs w:val="18"/>
        </w:rPr>
        <w:t>[1] Jensen Huang, keynote GTC 2026, San José, 18 mars 2026 ; blog NVIDIA, mars 2026.</w:t>
      </w:r>
    </w:p>
    <w:p w14:paraId="24CD0E73" w14:textId="77777777" w:rsidR="007D4E8B" w:rsidRDefault="00A11B27">
      <w:pPr>
        <w:spacing w:after="60" w:line="260" w:lineRule="auto"/>
      </w:pPr>
      <w:r>
        <w:rPr>
          <w:color w:val="666666"/>
          <w:sz w:val="18"/>
          <w:szCs w:val="18"/>
        </w:rPr>
        <w:t>[2] Pizzi, F. (2026). AI for Americans First : Protectionnisme IA américain, recomposition de l'ordre technologique mondial et conséquences pour la France et l'Europe (2026-2030). Université Paris Sorbonne. 103 pages, 157 notes. https://github.com/mo0ogly/America-First-IA</w:t>
      </w:r>
    </w:p>
    <w:p w14:paraId="69B00FAA" w14:textId="77777777" w:rsidR="007D4E8B" w:rsidRDefault="00A11B27">
      <w:pPr>
        <w:spacing w:after="60" w:line="260" w:lineRule="auto"/>
      </w:pPr>
      <w:r>
        <w:rPr>
          <w:color w:val="666666"/>
          <w:sz w:val="18"/>
          <w:szCs w:val="18"/>
        </w:rPr>
        <w:t>[3] LIA-Scan : plateforme d'audit de configuration cybersécurité, 200+ technologies, 160+ frameworks. Pipeline agentique nocturne via n8n pour la génération automatique de règles de détection CVE.</w:t>
      </w:r>
    </w:p>
    <w:p w14:paraId="2255EE50" w14:textId="77777777" w:rsidR="007D4E8B" w:rsidRDefault="00A11B27">
      <w:pPr>
        <w:spacing w:after="60" w:line="260" w:lineRule="auto"/>
      </w:pPr>
      <w:r>
        <w:rPr>
          <w:color w:val="666666"/>
          <w:sz w:val="18"/>
          <w:szCs w:val="18"/>
        </w:rPr>
        <w:t>[4] Pizzi, F. (2026). Économie de densité cognitive et structuration de marché : lecture d'intelligence économique de la doctrine Huang sur la consommation de tokens IA. Note de recherche, Université Paris Sorbonne.</w:t>
      </w:r>
    </w:p>
    <w:sectPr w:rsidR="007D4E8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28F0D" w14:textId="77777777" w:rsidR="00A11B27" w:rsidRDefault="00A11B27">
      <w:pPr>
        <w:spacing w:line="240" w:lineRule="auto"/>
      </w:pPr>
      <w:r>
        <w:separator/>
      </w:r>
    </w:p>
  </w:endnote>
  <w:endnote w:type="continuationSeparator" w:id="0">
    <w:p w14:paraId="6812837E" w14:textId="77777777" w:rsidR="00A11B27" w:rsidRDefault="00A11B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57980" w14:textId="77777777" w:rsidR="007D4E8B" w:rsidRDefault="00A11B27">
    <w:pPr>
      <w:jc w:val="center"/>
    </w:pPr>
    <w:r>
      <w:rPr>
        <w:color w:val="666666"/>
        <w:sz w:val="16"/>
        <w:szCs w:val="16"/>
      </w:rPr>
      <w:t xml:space="preserve">Université Paris Sorbonne — Intelligence Économique et Cybersécurité —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AAA0F" w14:textId="77777777" w:rsidR="00A11B27" w:rsidRDefault="00A11B27">
      <w:pPr>
        <w:spacing w:line="240" w:lineRule="auto"/>
      </w:pPr>
      <w:r>
        <w:separator/>
      </w:r>
    </w:p>
  </w:footnote>
  <w:footnote w:type="continuationSeparator" w:id="0">
    <w:p w14:paraId="5BE0E22D" w14:textId="77777777" w:rsidR="00A11B27" w:rsidRDefault="00A11B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B3FD8" w14:textId="77777777" w:rsidR="007D4E8B" w:rsidRDefault="00A11B27">
    <w:pPr>
      <w:jc w:val="right"/>
    </w:pPr>
    <w:r>
      <w:rPr>
        <w:i/>
        <w:iCs/>
        <w:color w:val="666666"/>
        <w:sz w:val="16"/>
        <w:szCs w:val="16"/>
      </w:rPr>
      <w:t>Pizzi, F. (2026) — Note de recherche — IA, méthode et densité cognitive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318A1"/>
    <w:multiLevelType w:val="hybridMultilevel"/>
    <w:tmpl w:val="2752F354"/>
    <w:lvl w:ilvl="0" w:tplc="69D462DA">
      <w:start w:val="1"/>
      <w:numFmt w:val="bullet"/>
      <w:lvlText w:val="●"/>
      <w:lvlJc w:val="left"/>
      <w:pPr>
        <w:ind w:left="720" w:hanging="360"/>
      </w:pPr>
    </w:lvl>
    <w:lvl w:ilvl="1" w:tplc="A1EC871E">
      <w:start w:val="1"/>
      <w:numFmt w:val="bullet"/>
      <w:lvlText w:val="○"/>
      <w:lvlJc w:val="left"/>
      <w:pPr>
        <w:ind w:left="1440" w:hanging="360"/>
      </w:pPr>
    </w:lvl>
    <w:lvl w:ilvl="2" w:tplc="338CDA0E">
      <w:start w:val="1"/>
      <w:numFmt w:val="bullet"/>
      <w:lvlText w:val="■"/>
      <w:lvlJc w:val="left"/>
      <w:pPr>
        <w:ind w:left="2160" w:hanging="360"/>
      </w:pPr>
    </w:lvl>
    <w:lvl w:ilvl="3" w:tplc="CDE8DE46">
      <w:start w:val="1"/>
      <w:numFmt w:val="bullet"/>
      <w:lvlText w:val="●"/>
      <w:lvlJc w:val="left"/>
      <w:pPr>
        <w:ind w:left="2880" w:hanging="360"/>
      </w:pPr>
    </w:lvl>
    <w:lvl w:ilvl="4" w:tplc="BDF84574">
      <w:start w:val="1"/>
      <w:numFmt w:val="bullet"/>
      <w:lvlText w:val="○"/>
      <w:lvlJc w:val="left"/>
      <w:pPr>
        <w:ind w:left="3600" w:hanging="360"/>
      </w:pPr>
    </w:lvl>
    <w:lvl w:ilvl="5" w:tplc="F4F61BC8">
      <w:start w:val="1"/>
      <w:numFmt w:val="bullet"/>
      <w:lvlText w:val="■"/>
      <w:lvlJc w:val="left"/>
      <w:pPr>
        <w:ind w:left="4320" w:hanging="360"/>
      </w:pPr>
    </w:lvl>
    <w:lvl w:ilvl="6" w:tplc="2E7226F4">
      <w:start w:val="1"/>
      <w:numFmt w:val="bullet"/>
      <w:lvlText w:val="●"/>
      <w:lvlJc w:val="left"/>
      <w:pPr>
        <w:ind w:left="5040" w:hanging="360"/>
      </w:pPr>
    </w:lvl>
    <w:lvl w:ilvl="7" w:tplc="C422F1DA">
      <w:start w:val="1"/>
      <w:numFmt w:val="bullet"/>
      <w:lvlText w:val="●"/>
      <w:lvlJc w:val="left"/>
      <w:pPr>
        <w:ind w:left="5760" w:hanging="360"/>
      </w:pPr>
    </w:lvl>
    <w:lvl w:ilvl="8" w:tplc="CBD4139C">
      <w:start w:val="1"/>
      <w:numFmt w:val="bullet"/>
      <w:lvlText w:val="●"/>
      <w:lvlJc w:val="left"/>
      <w:pPr>
        <w:ind w:left="6480" w:hanging="360"/>
      </w:pPr>
    </w:lvl>
  </w:abstractNum>
  <w:num w:numId="1" w16cid:durableId="444475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E8B"/>
    <w:rsid w:val="00613902"/>
    <w:rsid w:val="007D4E8B"/>
    <w:rsid w:val="00A11B2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4A088"/>
  <w15:docId w15:val="{A0812F44-7788-4D48-AC93-AE73AEBF2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fr-FR" w:eastAsia="fr-F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60"/>
      <w:outlineLvl w:val="0"/>
    </w:pPr>
    <w:rPr>
      <w:b/>
      <w:bCs/>
      <w:color w:val="1A1A1A"/>
      <w:sz w:val="26"/>
      <w:szCs w:val="26"/>
    </w:rPr>
  </w:style>
  <w:style w:type="paragraph" w:styleId="Titre2">
    <w:name w:val="heading 2"/>
    <w:uiPriority w:val="9"/>
    <w:semiHidden/>
    <w:unhideWhenUsed/>
    <w:qFormat/>
    <w:pPr>
      <w:spacing w:before="240" w:after="120"/>
      <w:outlineLvl w:val="1"/>
    </w:pPr>
    <w:rPr>
      <w:b/>
      <w:bCs/>
      <w:color w:val="333333"/>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1396</Words>
  <Characters>7680</Characters>
  <Application>Microsoft Office Word</Application>
  <DocSecurity>0</DocSecurity>
  <Lines>64</Lines>
  <Paragraphs>18</Paragraphs>
  <ScaleCrop>false</ScaleCrop>
  <Company/>
  <LinksUpToDate>false</LinksUpToDate>
  <CharactersWithSpaces>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cp:lastPrinted>2026-03-23T22:13:00Z</cp:lastPrinted>
  <dcterms:created xsi:type="dcterms:W3CDTF">2026-03-23T16:44:00Z</dcterms:created>
  <dcterms:modified xsi:type="dcterms:W3CDTF">2026-03-23T22:13:00Z</dcterms:modified>
</cp:coreProperties>
</file>