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a1a1a"/>
          <w:sz w:val="32"/>
          <w:szCs w:val="32"/>
        </w:rPr>
        <w:t xml:space="preserve">Économie de densité cognitive</w:t>
      </w:r>
    </w:p>
    <w:p>
      <w:pPr>
        <w:spacing w:after="80"/>
        <w:jc w:val="center"/>
      </w:pPr>
      <w:r>
        <w:rPr>
          <w:rFonts w:ascii="Times New Roman" w:cs="Times New Roman" w:eastAsia="Times New Roman" w:hAnsi="Times New Roman"/>
          <w:b/>
          <w:bCs/>
          <w:color w:val="1a1a1a"/>
          <w:sz w:val="32"/>
          <w:szCs w:val="32"/>
        </w:rPr>
        <w:t xml:space="preserve">et structuration de marché</w:t>
      </w:r>
    </w:p>
    <w:p>
      <w:pPr>
        <w:spacing w:after="200"/>
        <w:jc w:val="center"/>
      </w:pPr>
      <w:r>
        <w:rPr>
          <w:rFonts w:ascii="Times New Roman" w:cs="Times New Roman" w:eastAsia="Times New Roman" w:hAnsi="Times New Roman"/>
          <w:i/>
          <w:iCs/>
          <w:color w:val="333333"/>
          <w:sz w:val="24"/>
          <w:szCs w:val="24"/>
        </w:rPr>
        <w:t xml:space="preserve">Lecture d'intelligence économique de la doctrine Huang
sur la consommation de tokens IA</w:t>
      </w:r>
    </w:p>
    <w:p>
      <w:pPr>
        <w:spacing w:after="40"/>
        <w:jc w:val="center"/>
      </w:pPr>
      <w:r>
        <w:rPr>
          <w:rFonts w:ascii="Times New Roman" w:cs="Times New Roman" w:eastAsia="Times New Roman" w:hAnsi="Times New Roman"/>
          <w:b/>
          <w:bCs/>
          <w:sz w:val="24"/>
          <w:szCs w:val="24"/>
        </w:rPr>
        <w:t xml:space="preserve">Fabrice Pizzi</w:t>
      </w:r>
    </w:p>
    <w:p>
      <w:pPr>
        <w:spacing w:after="40"/>
        <w:jc w:val="center"/>
      </w:pPr>
      <w:r>
        <w:rPr>
          <w:rFonts w:ascii="Times New Roman" w:cs="Times New Roman" w:eastAsia="Times New Roman" w:hAnsi="Times New Roman"/>
          <w:color w:val="333333"/>
          <w:sz w:val="20"/>
          <w:szCs w:val="20"/>
        </w:rPr>
        <w:t xml:space="preserve">Université Paris Sorbonne — Intelligence Économique et Cybersécurité</w:t>
      </w:r>
    </w:p>
    <w:p>
      <w:pPr>
        <w:spacing w:after="40"/>
        <w:jc w:val="center"/>
      </w:pPr>
      <w:r>
        <w:rPr>
          <w:rFonts w:ascii="Times New Roman" w:cs="Times New Roman" w:eastAsia="Times New Roman" w:hAnsi="Times New Roman"/>
          <w:color w:val="333333"/>
          <w:sz w:val="20"/>
          <w:szCs w:val="20"/>
        </w:rPr>
        <w:t xml:space="preserve">CISSP | Fondateur de LIA-Scan | Chercheur en sécurité des agents IA autonomes</w:t>
      </w:r>
    </w:p>
    <w:p>
      <w:pPr>
        <w:spacing w:after="300"/>
        <w:jc w:val="center"/>
      </w:pPr>
      <w:r>
        <w:rPr>
          <w:rFonts w:ascii="Times New Roman" w:cs="Times New Roman" w:eastAsia="Times New Roman" w:hAnsi="Times New Roman"/>
          <w:i/>
          <w:iCs/>
          <w:color w:val="666666"/>
          <w:sz w:val="20"/>
          <w:szCs w:val="20"/>
        </w:rPr>
        <w:t xml:space="preserve">Mars 2026</w:t>
      </w:r>
    </w:p>
    <w:p>
      <w:pPr>
        <w:pBdr>
          <w:bottom w:val="single" w:color="999999" w:sz="4" w:space="1"/>
        </w:pBdr>
        <w:spacing w:after="200"/>
      </w:pPr>
    </w:p>
    <w:p>
      <w:pPr>
        <w:spacing w:before="100" w:after="80"/>
      </w:pPr>
      <w:r>
        <w:rPr>
          <w:rFonts w:ascii="Times New Roman" w:cs="Times New Roman" w:eastAsia="Times New Roman" w:hAnsi="Times New Roman"/>
          <w:b/>
          <w:bCs/>
          <w:sz w:val="22"/>
          <w:szCs w:val="22"/>
        </w:rPr>
        <w:t xml:space="preserve">Résumé</w:t>
      </w:r>
    </w:p>
    <w:p>
      <w:pPr>
        <w:spacing w:after="160" w:line="280"/>
        <w:ind w:left="567" w:right="567"/>
        <w:jc w:val="both"/>
      </w:pPr>
      <w:r>
        <w:rPr>
          <w:rFonts w:ascii="Times New Roman" w:cs="Times New Roman" w:eastAsia="Times New Roman" w:hAnsi="Times New Roman"/>
          <w:i/>
          <w:iCs/>
          <w:color w:val="333333"/>
          <w:sz w:val="20"/>
          <w:szCs w:val="20"/>
        </w:rPr>
        <w:t xml:space="preserve">Le 20 mars 2026, Jensen Huang, CEO de NVIDIA, a déclaré qu'un ingénieur rémunéré 500 000 dollars devrait consommer au minimum 250 000 dollars de tokens IA par an. Cette note de recherche propose une lecture d'intelligence économique de cette déclaration, en la replaçant dans le contexte de la position dominante de NVIDIA sur le marché des accélérateurs IA (environ 80 % de parts de marché) et de l'architecture protectionniste américaine documentée dans l'indice CACI (Competitive Advantage of Compute Index). L'analyse croise les données empiriques sur le retour sur investissement des projets GenAI en entreprise (MIT NANDA, PwC, Forrester, Gartner, IBM) avec le cadre géostratégique du CACI pour démontrer que la prescription de consommation massive de tokens relève davantage de la structuration de marché que du conseil managérial, et que le concept d'économie de densité cognitive doit être compris comme un nouveau régime de puissance intégrant quatre dimensions : énergie, semi-conducteurs, compute et régulation.</w:t>
      </w:r>
    </w:p>
    <w:p>
      <w:pPr>
        <w:spacing w:after="200" w:line="280"/>
        <w:ind w:left="567" w:right="567"/>
      </w:pPr>
      <w:r>
        <w:rPr>
          <w:rFonts w:ascii="Times New Roman" w:cs="Times New Roman" w:eastAsia="Times New Roman" w:hAnsi="Times New Roman"/>
          <w:b/>
          <w:bCs/>
          <w:sz w:val="20"/>
          <w:szCs w:val="20"/>
        </w:rPr>
        <w:t xml:space="preserve">Mots-clés : </w:t>
      </w:r>
      <w:r>
        <w:rPr>
          <w:rFonts w:ascii="Times New Roman" w:cs="Times New Roman" w:eastAsia="Times New Roman" w:hAnsi="Times New Roman"/>
          <w:sz w:val="20"/>
          <w:szCs w:val="20"/>
        </w:rPr>
        <w:t xml:space="preserve">intelligence économique, densité cognitive, CACI, NVIDIA, tokens IA, souveraineté numérique, protectionnisme technologique, ROI GenAI, compute, géostratégie</w:t>
      </w:r>
    </w:p>
    <w:p>
      <w:pPr>
        <w:pBdr>
          <w:bottom w:val="single" w:color="999999" w:sz="4" w:space="1"/>
        </w:pBdr>
        <w:spacing w:after="200"/>
      </w:pPr>
    </w:p>
    <w:p>
      <w:pPr>
        <w:pStyle w:val="Heading1"/>
      </w:pPr>
      <w:r>
        <w:rPr>
          <w:rFonts w:ascii="Times New Roman" w:cs="Times New Roman" w:eastAsia="Times New Roman" w:hAnsi="Times New Roman"/>
        </w:rPr>
        <w:t xml:space="preserve">1. Contexte : une déclaration à forte résonance médiatique</w:t>
      </w:r>
    </w:p>
    <w:p>
      <w:pPr>
        <w:spacing w:after="160" w:line="300"/>
        <w:jc w:val="both"/>
      </w:pPr>
      <w:r>
        <w:rPr>
          <w:rFonts w:ascii="Times New Roman" w:cs="Times New Roman" w:eastAsia="Times New Roman" w:hAnsi="Times New Roman"/>
          <w:sz w:val="22"/>
          <w:szCs w:val="22"/>
        </w:rPr>
        <w:t xml:space="preserve">Le 20 mars 2026, lors du GTC (GPU Technology Conference) de San José, Jensen Huang a participé au podcast All-In où il a formulé ce qui est rapidement devenu la citation la plus reprise de la semaine dans l'écosystème tech mondial :</w:t>
      </w:r>
    </w:p>
    <w:p>
      <w:pPr>
        <w:spacing w:before="120" w:after="120" w:line="280"/>
        <w:ind w:left="850" w:right="850"/>
        <w:jc w:val="both"/>
      </w:pPr>
      <w:r>
        <w:rPr>
          <w:rFonts w:ascii="Times New Roman" w:cs="Times New Roman" w:eastAsia="Times New Roman" w:hAnsi="Times New Roman"/>
          <w:i/>
          <w:iCs/>
          <w:sz w:val="21"/>
          <w:szCs w:val="21"/>
        </w:rPr>
        <w:t xml:space="preserve">« If that $500,000 engineer did not consume at least $250,000 worth of tokens, I am going to be deeply alarmed. » [1]</w:t>
      </w:r>
    </w:p>
    <w:p>
      <w:pPr>
        <w:spacing w:after="160" w:line="300"/>
        <w:jc w:val="both"/>
      </w:pPr>
      <w:r>
        <w:rPr>
          <w:rFonts w:ascii="Times New Roman" w:cs="Times New Roman" w:eastAsia="Times New Roman" w:hAnsi="Times New Roman"/>
          <w:sz w:val="22"/>
          <w:szCs w:val="22"/>
        </w:rPr>
        <w:t xml:space="preserve">Huang a précisé que si cet ingénieur n'avait dépensé que 5 000 dollars de tokens, il serait extrêmement mécontent. Interrogé sur le fait que NVIDIA tentait de dépenser 2 milliards de dollars en tokens pour son équipe d'ingénieurs, il a confirmé : « We're trying to. » [1] Il a également évoqué, lors de sa keynote au GTC, l'idée d'intégrer un budget tokens équivalent à environ la moitié du salaire de base comme composante d'attractivité dans le recrutement d'ingénieurs. [2]</w:t>
      </w:r>
    </w:p>
    <w:p>
      <w:pPr>
        <w:spacing w:after="160" w:line="300"/>
        <w:jc w:val="both"/>
      </w:pPr>
      <w:r>
        <w:rPr>
          <w:rFonts w:ascii="Times New Roman" w:cs="Times New Roman" w:eastAsia="Times New Roman" w:hAnsi="Times New Roman"/>
          <w:sz w:val="22"/>
          <w:szCs w:val="22"/>
        </w:rPr>
        <w:t xml:space="preserve">La réception médiatique et professionnelle de cette déclaration s'est concentrée quasi exclusivement sur sa dimension managériale : l'injonction à la productivité individuelle via une consommation intensive d'IA. Cette note propose une lecture différente.</w:t>
      </w:r>
    </w:p>
    <w:p>
      <w:pPr>
        <w:pStyle w:val="Heading1"/>
      </w:pPr>
      <w:r>
        <w:rPr>
          <w:rFonts w:ascii="Times New Roman" w:cs="Times New Roman" w:eastAsia="Times New Roman" w:hAnsi="Times New Roman"/>
        </w:rPr>
        <w:t xml:space="preserve">2. Grille de lecture : qui parle, depuis quelle position, avec quel intérêt ?</w:t>
      </w:r>
    </w:p>
    <w:p>
      <w:pPr>
        <w:spacing w:after="160" w:line="300"/>
        <w:jc w:val="both"/>
      </w:pPr>
      <w:r>
        <w:rPr>
          <w:rFonts w:ascii="Times New Roman" w:cs="Times New Roman" w:eastAsia="Times New Roman" w:hAnsi="Times New Roman"/>
          <w:sz w:val="22"/>
          <w:szCs w:val="22"/>
        </w:rPr>
        <w:t xml:space="preserve">Le premier réflexe en intelligence économique, face à une déclaration publique d'un dirigeant d'entreprise, consiste à identifier la position structurelle de l'émetteur. Jensen Huang est le CEO de NVIDIA, premier fournisseur mondial d'accélérateurs IA, avec environ 80 % de parts de marché sur les puces d'entraînement et d'inférence IA. [3] NVIDIA est également le principal bénéficiaire de la croissance de la consommation de tokens : chaque dollar de token consommé dans le monde génère, directement ou indirectement, de la demande pour du compute exécuté sur matériel NVIDIA.</w:t>
      </w:r>
    </w:p>
    <w:p>
      <w:pPr>
        <w:spacing w:after="160" w:line="300"/>
        <w:jc w:val="both"/>
      </w:pPr>
      <w:r>
        <w:rPr>
          <w:rFonts w:ascii="Times New Roman" w:cs="Times New Roman" w:eastAsia="Times New Roman" w:hAnsi="Times New Roman"/>
          <w:sz w:val="22"/>
          <w:szCs w:val="22"/>
        </w:rPr>
        <w:t xml:space="preserve">Dans ce cadre, la déclaration « consommez au moins la moitié de votre salaire en tokens » ne constitue pas un conseil managérial neutre. Elle constitue un acte de structuration de la demande sur le propre marché de l'émetteur. Le fait que cette lecture soit quasiment absente du débat public sur l'IA suggère un déficit de maturité en intelligence économique appliquée au secteur technologique.</w:t>
      </w:r>
    </w:p>
    <w:p>
      <w:pPr>
        <w:pStyle w:val="Heading1"/>
      </w:pPr>
      <w:r>
        <w:rPr>
          <w:rFonts w:ascii="Times New Roman" w:cs="Times New Roman" w:eastAsia="Times New Roman" w:hAnsi="Times New Roman"/>
        </w:rPr>
        <w:t xml:space="preserve">3. Confrontation empirique : le décalage entre la prescription et les résultats observés</w:t>
      </w:r>
    </w:p>
    <w:p>
      <w:pPr>
        <w:spacing w:after="160" w:line="300"/>
        <w:jc w:val="both"/>
      </w:pPr>
      <w:r>
        <w:rPr>
          <w:rFonts w:ascii="Times New Roman" w:cs="Times New Roman" w:eastAsia="Times New Roman" w:hAnsi="Times New Roman"/>
          <w:sz w:val="22"/>
          <w:szCs w:val="22"/>
        </w:rPr>
        <w:t xml:space="preserve">La prescription de Huang est cohérente dans un contexte très spécifique : des profils d'élite opérant dans des écosystèmes matures (NVIDIA, hyperscalers, pointe de la Silicon Valley), où les agents IA tournent en continu et où chaque dollar de compute se réplique en valeur mesurable. Projetée sur l'ensemble du tissu économique, elle se heurte cependant aux données empiriques disponibles.</w:t>
      </w:r>
    </w:p>
    <w:p>
      <w:pPr>
        <w:spacing w:before="200" w:after="80"/>
      </w:pPr>
      <w:r>
        <w:rPr>
          <w:rFonts w:ascii="Times New Roman" w:cs="Times New Roman" w:eastAsia="Times New Roman" w:hAnsi="Times New Roman"/>
          <w:b/>
          <w:bCs/>
          <w:i/>
          <w:iCs/>
          <w:sz w:val="20"/>
          <w:szCs w:val="20"/>
        </w:rPr>
        <w:t xml:space="preserve">Tableau 1. </w:t>
      </w:r>
      <w:r>
        <w:rPr>
          <w:rFonts w:ascii="Times New Roman" w:cs="Times New Roman" w:eastAsia="Times New Roman" w:hAnsi="Times New Roman"/>
          <w:i/>
          <w:iCs/>
          <w:sz w:val="20"/>
          <w:szCs w:val="20"/>
        </w:rPr>
        <w:t xml:space="preserve">Données empiriques sur le ROI des projets GenAI en entreprise (2025-2026)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26"/>
      </w:tblGrid>
      <w:tr>
        <w:tc>
          <w:tcPr>
            <w:tcW w:type="dxa" w:w="2200"/>
            <w:tcBorders>
              <w:top w:val="single" w:color="CCCCCC" w:sz="1"/>
              <w:left w:val="single" w:color="CCCCCC" w:sz="1"/>
              <w:bottom w:val="single" w:color="CCCCCC" w:sz="1"/>
              <w:right w:val="single" w:color="CCCCCC" w:sz="1"/>
            </w:tcBorders>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Source</w:t>
            </w:r>
          </w:p>
        </w:tc>
        <w:tc>
          <w:tcPr>
            <w:tcW w:type="dxa" w:w="1000"/>
            <w:tcBorders>
              <w:top w:val="single" w:color="CCCCCC" w:sz="1"/>
              <w:left w:val="single" w:color="CCCCCC" w:sz="1"/>
              <w:bottom w:val="single" w:color="CCCCCC" w:sz="1"/>
              <w:right w:val="single" w:color="CCCCCC" w:sz="1"/>
            </w:tcBorders>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Année</w:t>
            </w:r>
          </w:p>
        </w:tc>
        <w:tc>
          <w:tcPr>
            <w:tcW w:type="dxa" w:w="5826"/>
            <w:tcBorders>
              <w:top w:val="single" w:color="CCCCCC" w:sz="1"/>
              <w:left w:val="single" w:color="CCCCCC" w:sz="1"/>
              <w:bottom w:val="single" w:color="CCCCCC" w:sz="1"/>
              <w:right w:val="single" w:color="CCCCCC" w:sz="1"/>
            </w:tcBorders>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Constat principal</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MIT NANDA</w:t>
            </w:r>
          </w:p>
          <w:p>
            <w:pPr>
              <w:spacing w:after="20"/>
            </w:pPr>
            <w:r>
              <w:rPr>
                <w:rFonts w:ascii="Times New Roman" w:cs="Times New Roman" w:eastAsia="Times New Roman" w:hAnsi="Times New Roman"/>
                <w:sz w:val="18"/>
                <w:szCs w:val="18"/>
              </w:rPr>
              <w:t xml:space="preserve">« The GenAI Divide »</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2025</w:t>
            </w:r>
          </w:p>
        </w:tc>
        <w:tc>
          <w:tcPr>
            <w:tcW w:type="dxa" w:w="582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95 % des projets GenAI en entreprise n'ont produit aucun impact mesurable sur le P&amp;L. [8]</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PwC CEO Survey</w:t>
            </w:r>
          </w:p>
          <w:p>
            <w:pPr>
              <w:spacing w:after="20"/>
            </w:pPr>
            <w:r>
              <w:rPr>
                <w:rFonts w:ascii="Times New Roman" w:cs="Times New Roman" w:eastAsia="Times New Roman" w:hAnsi="Times New Roman"/>
                <w:sz w:val="18"/>
                <w:szCs w:val="18"/>
              </w:rPr>
              <w:t xml:space="preserve">(Davos)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2026</w:t>
            </w:r>
          </w:p>
        </w:tc>
        <w:tc>
          <w:tcPr>
            <w:tcW w:type="dxa" w:w="582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56 % des CEO déclarent que l'IA n'a pas produit de bénéfices significatifs. 12 % rapportent des gains coûts + revenus. [9]</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Forrester</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2025</w:t>
            </w:r>
          </w:p>
        </w:tc>
        <w:tc>
          <w:tcPr>
            <w:tcW w:type="dxa" w:w="582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15 % des décideurs IA rapportent un impact positif sur la rentabilité. 25 % des dépenses IA 2026 reportées à 2027. [10]</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Gartner</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2025</w:t>
            </w:r>
          </w:p>
        </w:tc>
        <w:tc>
          <w:tcPr>
            <w:tcW w:type="dxa" w:w="582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60 % des projets IA abandonnés d'ici fin 2026 (données non « AI-ready »). [11]</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IBM IBV</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2025</w:t>
            </w:r>
          </w:p>
        </w:tc>
        <w:tc>
          <w:tcPr>
            <w:tcW w:type="dxa" w:w="582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25 % des initiatives IA ont livré le ROI attendu. 16 % déployées à l'échelle. [12]</w:t>
            </w:r>
          </w:p>
        </w:tc>
      </w:tr>
    </w:tbl>
    <w:p>
      <w:pPr>
        <w:spacing w:after="160"/>
      </w:pPr>
    </w:p>
    <w:p>
      <w:pPr>
        <w:spacing w:after="160" w:line="300"/>
        <w:jc w:val="both"/>
      </w:pPr>
      <w:r>
        <w:rPr>
          <w:rFonts w:ascii="Times New Roman" w:cs="Times New Roman" w:eastAsia="Times New Roman" w:hAnsi="Times New Roman"/>
          <w:sz w:val="22"/>
          <w:szCs w:val="22"/>
        </w:rPr>
        <w:t xml:space="preserve">Le décalage entre la prescription (« dépensez 250 000 dollars de tokens par ingénieur ») et la réalité empirique (95 % d'absence de retour mesurable) pose une question structurelle. Si la majorité des organisations ne parviennent pas à convertir leur dépense IA en valeur, le principal bénéficiaire d'une augmentation de cette dépense n'est pas l'entreprise consommatrice, mais le fournisseur d'infrastructure de compute.</w:t>
      </w:r>
    </w:p>
    <w:p>
      <w:pPr>
        <w:pStyle w:val="Heading1"/>
      </w:pPr>
      <w:r>
        <w:rPr>
          <w:rFonts w:ascii="Times New Roman" w:cs="Times New Roman" w:eastAsia="Times New Roman" w:hAnsi="Times New Roman"/>
        </w:rPr>
        <w:t xml:space="preserve">4. Le volume de tokens comme indicateur de dépendance</w:t>
      </w:r>
    </w:p>
    <w:p>
      <w:pPr>
        <w:spacing w:after="160" w:line="300"/>
        <w:jc w:val="both"/>
      </w:pPr>
      <w:r>
        <w:rPr>
          <w:rFonts w:ascii="Times New Roman" w:cs="Times New Roman" w:eastAsia="Times New Roman" w:hAnsi="Times New Roman"/>
          <w:sz w:val="22"/>
          <w:szCs w:val="22"/>
        </w:rPr>
        <w:t xml:space="preserve">Mesurer la consommation de tokens comme indicateur de productivité individuelle pose un problème méthodologique fondamental : cette métrique capture l'activité, pas la valeur créée. Elle est comparable à l'évaluation d'un développeur par ses heures passées dans un environnement de développement plutôt que par les fonctionnalités livrées et validées.</w:t>
      </w:r>
    </w:p>
    <w:p>
      <w:pPr>
        <w:spacing w:after="160" w:line="300"/>
        <w:jc w:val="both"/>
      </w:pPr>
      <w:r>
        <w:rPr>
          <w:rFonts w:ascii="Times New Roman" w:cs="Times New Roman" w:eastAsia="Times New Roman" w:hAnsi="Times New Roman"/>
          <w:sz w:val="22"/>
          <w:szCs w:val="22"/>
        </w:rPr>
        <w:t xml:space="preserve">Plus problématique encore, cette métrique crée un incentive pervers : la maximisation du volume de tokens consommés, indépendamment de la valeur produite. Dans un contexte d'audit ou de cybersécurité, ce type de métrique serait immédiatement écarté au profit d'indicateurs de résultat : cycle time, findings exploitables, incidents évités, features livrées, coûts de remédiation réduits.</w:t>
      </w:r>
    </w:p>
    <w:p>
      <w:pPr>
        <w:spacing w:after="160" w:line="300"/>
        <w:jc w:val="both"/>
      </w:pPr>
      <w:r>
        <w:rPr>
          <w:rFonts w:ascii="Times New Roman" w:cs="Times New Roman" w:eastAsia="Times New Roman" w:hAnsi="Times New Roman"/>
          <w:sz w:val="22"/>
          <w:szCs w:val="22"/>
        </w:rPr>
        <w:t xml:space="preserve">Le ratio pertinent n'est pas le volume de tokens consommé, mais la valeur vérifiable produite par unité de compute consommée. Ce changement de métrique, appliqué à l'échelle géostratégique, modifie profondément la lecture du concept de densité cognitive.</w:t>
      </w:r>
    </w:p>
    <w:p>
      <w:pPr>
        <w:pStyle w:val="Heading1"/>
      </w:pPr>
      <w:r>
        <w:rPr>
          <w:rFonts w:ascii="Times New Roman" w:cs="Times New Roman" w:eastAsia="Times New Roman" w:hAnsi="Times New Roman"/>
        </w:rPr>
        <w:t xml:space="preserve">5. Économie de densité cognitive : du sens managérial au sens géostratégique</w:t>
      </w:r>
    </w:p>
    <w:p>
      <w:pPr>
        <w:spacing w:after="160" w:line="300"/>
        <w:jc w:val="both"/>
      </w:pPr>
      <w:r>
        <w:rPr>
          <w:rFonts w:ascii="Times New Roman" w:cs="Times New Roman" w:eastAsia="Times New Roman" w:hAnsi="Times New Roman"/>
          <w:sz w:val="22"/>
          <w:szCs w:val="22"/>
        </w:rPr>
        <w:t xml:space="preserve">Le concept d'économie de densité cognitive admet deux lectures. La première, managériale, décrit l'intensification du travail cognitif par individu : chaque professionnel devra produire davantage de valeur par unité de temps, en s'appuyant sur l'IA comme levier. Cette lecture est correcte mais insuffisante.</w:t>
      </w:r>
    </w:p>
    <w:p>
      <w:pPr>
        <w:spacing w:after="160" w:line="300"/>
        <w:jc w:val="both"/>
      </w:pPr>
      <w:r>
        <w:rPr>
          <w:rFonts w:ascii="Times New Roman" w:cs="Times New Roman" w:eastAsia="Times New Roman" w:hAnsi="Times New Roman"/>
          <w:sz w:val="22"/>
          <w:szCs w:val="22"/>
        </w:rPr>
        <w:t xml:space="preserve">La seconde lecture, géostratégique, désigne un nouveau régime de puissance mondial. La richesse et la compétitivité d'un pays, d'un bloc ou d'une organisation ne se mesurent plus uniquement par les ressources naturelles, le PIB industriel ou le capital humain brut, mais par la capacité à transformer du compute en résultat fiable, vérifiable et souverain.</w:t>
      </w:r>
    </w:p>
    <w:p>
      <w:pPr>
        <w:spacing w:after="160" w:line="300"/>
        <w:jc w:val="both"/>
      </w:pPr>
      <w:r>
        <w:rPr>
          <w:rFonts w:ascii="Times New Roman" w:cs="Times New Roman" w:eastAsia="Times New Roman" w:hAnsi="Times New Roman"/>
          <w:sz w:val="22"/>
          <w:szCs w:val="22"/>
        </w:rPr>
        <w:t xml:space="preserve">C'est cette seconde lecture que formalise l'indice CACI (Competitive Advantage of Compute Index), construit dans le cadre de la recherche </w:t>
      </w:r>
      <w:r>
        <w:rPr>
          <w:rFonts w:ascii="Times New Roman" w:cs="Times New Roman" w:eastAsia="Times New Roman" w:hAnsi="Times New Roman"/>
          <w:i/>
          <w:iCs/>
          <w:sz w:val="22"/>
          <w:szCs w:val="22"/>
        </w:rPr>
        <w:t xml:space="preserve">AI for Americans First</w:t>
      </w:r>
      <w:r>
        <w:rPr>
          <w:rFonts w:ascii="Times New Roman" w:cs="Times New Roman" w:eastAsia="Times New Roman" w:hAnsi="Times New Roman"/>
          <w:sz w:val="22"/>
          <w:szCs w:val="22"/>
        </w:rPr>
        <w:t xml:space="preserve"> (Pizzi, Université Paris Sorbonne, février 2026). [4] Le CACI intègre quatre dimensions habituellement traitées séparément dans la littérature : </w:t>
      </w:r>
      <w:r>
        <w:rPr>
          <w:rFonts w:ascii="Times New Roman" w:cs="Times New Roman" w:eastAsia="Times New Roman" w:hAnsi="Times New Roman"/>
          <w:b/>
          <w:bCs/>
          <w:sz w:val="22"/>
          <w:szCs w:val="22"/>
        </w:rPr>
        <w:t xml:space="preserve">énergie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semi-conducteurs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compute</w:t>
      </w:r>
      <w:r>
        <w:rPr>
          <w:rFonts w:ascii="Times New Roman" w:cs="Times New Roman" w:eastAsia="Times New Roman" w:hAnsi="Times New Roman"/>
          <w:sz w:val="22"/>
          <w:szCs w:val="22"/>
        </w:rPr>
        <w:t xml:space="preserve"> et </w:t>
      </w:r>
      <w:r>
        <w:rPr>
          <w:rFonts w:ascii="Times New Roman" w:cs="Times New Roman" w:eastAsia="Times New Roman" w:hAnsi="Times New Roman"/>
          <w:b/>
          <w:bCs/>
          <w:sz w:val="22"/>
          <w:szCs w:val="22"/>
        </w:rPr>
        <w:t xml:space="preserve">régulation</w:t>
      </w:r>
      <w:r>
        <w:rPr>
          <w:rFonts w:ascii="Times New Roman" w:cs="Times New Roman" w:eastAsia="Times New Roman" w:hAnsi="Times New Roman"/>
          <w:sz w:val="22"/>
          <w:szCs w:val="22"/>
        </w:rPr>
        <w:t xml:space="preserve">.</w:t>
      </w:r>
    </w:p>
    <w:p>
      <w:pPr>
        <w:pStyle w:val="Heading2"/>
      </w:pPr>
      <w:r>
        <w:rPr>
          <w:rFonts w:ascii="Times New Roman" w:cs="Times New Roman" w:eastAsia="Times New Roman" w:hAnsi="Times New Roman"/>
        </w:rPr>
        <w:t xml:space="preserve">5.1 Résultats du CACI</w:t>
      </w:r>
    </w:p>
    <w:p>
      <w:pPr>
        <w:spacing w:after="160" w:line="300"/>
        <w:jc w:val="both"/>
      </w:pPr>
      <w:r>
        <w:rPr>
          <w:rFonts w:ascii="Times New Roman" w:cs="Times New Roman" w:eastAsia="Times New Roman" w:hAnsi="Times New Roman"/>
          <w:sz w:val="22"/>
          <w:szCs w:val="22"/>
        </w:rPr>
        <w:t xml:space="preserve">Le ratio CACI US/EU se situe à 3.4:1 (mode Power), porté par trois facteurs convergents.</w:t>
      </w:r>
    </w:p>
    <w:p>
      <w:pPr>
        <w:spacing w:after="160" w:line="300"/>
        <w:jc w:val="both"/>
      </w:pPr>
      <w:r>
        <w:rPr>
          <w:rFonts w:ascii="Times New Roman" w:cs="Times New Roman" w:eastAsia="Times New Roman" w:hAnsi="Times New Roman"/>
          <w:b/>
          <w:bCs/>
          <w:sz w:val="22"/>
          <w:szCs w:val="22"/>
        </w:rPr>
        <w:t xml:space="preserve">Écart de compute et d'énergie. </w:t>
      </w:r>
      <w:r>
        <w:rPr>
          <w:rFonts w:ascii="Times New Roman" w:cs="Times New Roman" w:eastAsia="Times New Roman" w:hAnsi="Times New Roman"/>
          <w:sz w:val="22"/>
          <w:szCs w:val="22"/>
        </w:rPr>
        <w:t xml:space="preserve">Les États-Unis disposent d'une capacité de 75 GW dédiée aux data centers IA, contre 35 GW pour l'Union européenne. Cet écart se traduit directement dans le coût des FLOPs : $0,5/TFlop aux États-Unis contre $1,2 à $1,8/TFlop en Europe, soit un différentiel de deux à trois. Sources : Epoch AI GPU Clusters Dataset (2025), IEA Electricity 2024 Report. [5]</w:t>
      </w:r>
    </w:p>
    <w:p>
      <w:pPr>
        <w:spacing w:after="160" w:line="300"/>
        <w:jc w:val="both"/>
      </w:pPr>
      <w:r>
        <w:rPr>
          <w:rFonts w:ascii="Times New Roman" w:cs="Times New Roman" w:eastAsia="Times New Roman" w:hAnsi="Times New Roman"/>
          <w:b/>
          <w:bCs/>
          <w:sz w:val="22"/>
          <w:szCs w:val="22"/>
        </w:rPr>
        <w:t xml:space="preserve">Architecture protectionniste à trois étages. </w:t>
      </w:r>
      <w:r>
        <w:rPr>
          <w:rFonts w:ascii="Times New Roman" w:cs="Times New Roman" w:eastAsia="Times New Roman" w:hAnsi="Times New Roman"/>
          <w:sz w:val="22"/>
          <w:szCs w:val="22"/>
        </w:rPr>
        <w:t xml:space="preserve">Le cadre réglementaire américain sous l'administration Trump 2.0 combine trois mécanismes : (i) les export controls hérités de Biden et renforcés, segmentant le monde en trois tiers d'accès ; (ii) les tarifs Section 232 de 25 % sur les semi-conducteurs IA avancés (janvier 2026), créant un différentiel de coût direct entre firmes américaines (exemptées) et non-américaines ; (iii) la gravité du capital, avec $660 à 690 milliards de capex annuel des cinq hyperscalers américains. [6]</w:t>
      </w:r>
    </w:p>
    <w:p>
      <w:pPr>
        <w:spacing w:after="160" w:line="300"/>
        <w:jc w:val="both"/>
      </w:pPr>
      <w:r>
        <w:rPr>
          <w:rFonts w:ascii="Times New Roman" w:cs="Times New Roman" w:eastAsia="Times New Roman" w:hAnsi="Times New Roman"/>
          <w:b/>
          <w:bCs/>
          <w:sz w:val="22"/>
          <w:szCs w:val="22"/>
        </w:rPr>
        <w:t xml:space="preserve">Convergence des investissements alliés vers le sol américain. </w:t>
      </w:r>
      <w:r>
        <w:rPr>
          <w:rFonts w:ascii="Times New Roman" w:cs="Times New Roman" w:eastAsia="Times New Roman" w:hAnsi="Times New Roman"/>
          <w:sz w:val="22"/>
          <w:szCs w:val="22"/>
        </w:rPr>
        <w:t xml:space="preserve">Les alliés de Tier 1 co-financent la suprématie américaine plutôt que de construire leur propre autonomie. L'investissement japonais dirigé vers les États-Unis atteint $550 milliards, renforçant la concentration du compute sur le territoire américain. [7]</w:t>
      </w:r>
    </w:p>
    <w:p>
      <w:pPr>
        <w:pStyle w:val="Heading2"/>
      </w:pPr>
      <w:r>
        <w:rPr>
          <w:rFonts w:ascii="Times New Roman" w:cs="Times New Roman" w:eastAsia="Times New Roman" w:hAnsi="Times New Roman"/>
        </w:rPr>
        <w:t xml:space="preserve">5.2 Implications pour la lecture de la déclaration Huang</w:t>
      </w:r>
    </w:p>
    <w:p>
      <w:pPr>
        <w:spacing w:after="160" w:line="300"/>
        <w:jc w:val="both"/>
      </w:pPr>
      <w:r>
        <w:rPr>
          <w:rFonts w:ascii="Times New Roman" w:cs="Times New Roman" w:eastAsia="Times New Roman" w:hAnsi="Times New Roman"/>
          <w:sz w:val="22"/>
          <w:szCs w:val="22"/>
        </w:rPr>
        <w:t xml:space="preserve">Replacée dans ce cadre, la déclaration de Jensen Huang acquiert une signification structurelle. Un ingénieur européen qui « brûle des tokens » selon la prescription de Huang consomme du compute américain, exécuté sur des modèles américains, alimenté par une infrastructure qu'il ne contrôle pas, protégée par une régulation qui ne le protège pas, et tarifée à un coût structurellement supérieur du fait de l'architecture protectionniste documentée ci-dessus.</w:t>
      </w:r>
    </w:p>
    <w:p>
      <w:pPr>
        <w:spacing w:after="160" w:line="300"/>
        <w:jc w:val="both"/>
      </w:pPr>
      <w:r>
        <w:rPr>
          <w:rFonts w:ascii="Times New Roman" w:cs="Times New Roman" w:eastAsia="Times New Roman" w:hAnsi="Times New Roman"/>
          <w:sz w:val="22"/>
          <w:szCs w:val="22"/>
        </w:rPr>
        <w:t xml:space="preserve">Sa productivité individuelle peut augmenter. Sa dépendance augmente certainement. La question « combien de tokens consommes-tu ? » ne signifie donc pas « es-tu productif ? » mais « quel est ton niveau de dépendance envers une infrastructure que tu ne contrôles pas ? ». Pour une entreprise, c'est une question de risque. Pour un État, c'est une question de souveraineté.</w:t>
      </w:r>
    </w:p>
    <w:p>
      <w:pPr>
        <w:pStyle w:val="Heading1"/>
      </w:pPr>
      <w:r>
        <w:rPr>
          <w:rFonts w:ascii="Times New Roman" w:cs="Times New Roman" w:eastAsia="Times New Roman" w:hAnsi="Times New Roman"/>
        </w:rPr>
        <w:t xml:space="preserve">6. Indicateurs de densité cognitive : adoption vs. maîtrise</w:t>
      </w:r>
    </w:p>
    <w:p>
      <w:pPr>
        <w:spacing w:after="160" w:line="300"/>
        <w:jc w:val="both"/>
      </w:pPr>
      <w:r>
        <w:rPr>
          <w:rFonts w:ascii="Times New Roman" w:cs="Times New Roman" w:eastAsia="Times New Roman" w:hAnsi="Times New Roman"/>
          <w:sz w:val="22"/>
          <w:szCs w:val="22"/>
        </w:rPr>
        <w:t xml:space="preserve">Le vrai indicateur de densité cognitive d'une nation n'est pas le taux d'adoption de l'IA ni le volume de tokens consommés par ses entreprises. C'est le ratio de maîtrise opérationnelle : la proportion d'organisations capables de transformer une unité de compute en valeur mesurable, dans un pipeline contrôlé, traçable et auditable.</w:t>
      </w:r>
    </w:p>
    <w:p>
      <w:pPr>
        <w:spacing w:after="160" w:line="300"/>
        <w:jc w:val="both"/>
      </w:pPr>
      <w:r>
        <w:rPr>
          <w:rFonts w:ascii="Times New Roman" w:cs="Times New Roman" w:eastAsia="Times New Roman" w:hAnsi="Times New Roman"/>
          <w:sz w:val="22"/>
          <w:szCs w:val="22"/>
        </w:rPr>
        <w:t xml:space="preserve">Considérons deux organisations dépensant chacune 100 000 euros annuels en tokens IA. La première fait tourner des agents sans boucle de contrôle, sans scoring, sans traçabilité. Elle produit du volume dont 80 % est inutilisable en production. La seconde a construit un pipeline discipliné où chaque output IA est décomposé, évalué et auditable. Elle produit quatre fois moins de volume mais chaque livrable est déployable. La seconde organisation présente une densité cognitive supérieure, bien que sa consommation de tokens soit identique ou inférieure.</w:t>
      </w:r>
    </w:p>
    <w:p>
      <w:pPr>
        <w:spacing w:after="160" w:line="300"/>
        <w:jc w:val="both"/>
      </w:pPr>
      <w:r>
        <w:rPr>
          <w:rFonts w:ascii="Times New Roman" w:cs="Times New Roman" w:eastAsia="Times New Roman" w:hAnsi="Times New Roman"/>
          <w:sz w:val="22"/>
          <w:szCs w:val="22"/>
        </w:rPr>
        <w:t xml:space="preserve">Ce ratio, maîtrise opérationnelle rapportée à la dépendance infrastructure, constitue l'indicateur central de la compétitivité dans l'économie de densité cognitive. Il s'applique à l'échelle individuelle, organisationnelle et géopolitique.</w:t>
      </w:r>
    </w:p>
    <w:p>
      <w:pPr>
        <w:pStyle w:val="Heading1"/>
      </w:pPr>
      <w:r>
        <w:rPr>
          <w:rFonts w:ascii="Times New Roman" w:cs="Times New Roman" w:eastAsia="Times New Roman" w:hAnsi="Times New Roman"/>
        </w:rPr>
        <w:t xml:space="preserve">7. Conclusion</w:t>
      </w:r>
    </w:p>
    <w:p>
      <w:pPr>
        <w:spacing w:after="160" w:line="300"/>
        <w:jc w:val="both"/>
      </w:pPr>
      <w:r>
        <w:rPr>
          <w:rFonts w:ascii="Times New Roman" w:cs="Times New Roman" w:eastAsia="Times New Roman" w:hAnsi="Times New Roman"/>
          <w:sz w:val="22"/>
          <w:szCs w:val="22"/>
        </w:rPr>
        <w:t xml:space="preserve">La déclaration de Jensen Huang sur la consommation de tokens constitue un objet d'étude pertinent pour l'intelligence économique appliquée au secteur de l'IA. Lue comme un conseil managérial, elle est recevable dans un contexte étroit. Lue comme un acte de structuration de marché par le premier fournisseur mondial de compute IA, elle révèle une dynamique de dépendance que le concept d'économie de densité cognitive permet de formaliser.</w:t>
      </w:r>
    </w:p>
    <w:p>
      <w:pPr>
        <w:spacing w:after="160" w:line="300"/>
        <w:jc w:val="both"/>
      </w:pPr>
      <w:r>
        <w:rPr>
          <w:rFonts w:ascii="Times New Roman" w:cs="Times New Roman" w:eastAsia="Times New Roman" w:hAnsi="Times New Roman"/>
          <w:sz w:val="22"/>
          <w:szCs w:val="22"/>
        </w:rPr>
        <w:t xml:space="preserve">Les données empiriques disponibles (MIT, PwC, Forrester, Gartner, IBM) montrent que la consommation massive de tokens ne se traduit pas, dans la grande majorité des cas, en valeur mesurable. Le principal bénéficiaire de l'augmentation de cette consommation reste le fournisseur d'infrastructure, non l'organisation consommatrice.</w:t>
      </w:r>
    </w:p>
    <w:p>
      <w:pPr>
        <w:spacing w:after="160" w:line="300"/>
        <w:jc w:val="both"/>
      </w:pPr>
      <w:r>
        <w:rPr>
          <w:rFonts w:ascii="Times New Roman" w:cs="Times New Roman" w:eastAsia="Times New Roman" w:hAnsi="Times New Roman"/>
          <w:sz w:val="22"/>
          <w:szCs w:val="22"/>
        </w:rPr>
        <w:t xml:space="preserve">L'indice CACI, en intégrant les dimensions énergie, semi-conducteurs, compute et régulation, quantifie l'asymétrie structurelle (ratio US/EU de 3.4:1, mode Power) qui sous-tend cette dynamique. Dans ce cadre, l'objectif pour la France et l'Europe n'est pas l'autarcie technologique, mais la capacité de choisir : maîtriser le ratio entre valeur produite et dépendance consentie, à chaque niveau de la chaîne.</w:t>
      </w:r>
    </w:p>
    <w:p>
      <w:pPr>
        <w:pBdr>
          <w:bottom w:val="single" w:color="999999" w:sz="2" w:space="1"/>
        </w:pBdr>
        <w:spacing w:before="400"/>
      </w:pPr>
    </w:p>
    <w:p>
      <w:pPr>
        <w:spacing w:before="200" w:after="120"/>
      </w:pPr>
      <w:r>
        <w:rPr>
          <w:rFonts w:ascii="Times New Roman" w:cs="Times New Roman" w:eastAsia="Times New Roman" w:hAnsi="Times New Roman"/>
          <w:b/>
          <w:bCs/>
          <w:sz w:val="22"/>
          <w:szCs w:val="22"/>
        </w:rPr>
        <w:t xml:space="preserve">Notes</w:t>
      </w:r>
    </w:p>
    <w:p>
      <w:pPr>
        <w:spacing w:after="60" w:line="260"/>
      </w:pPr>
      <w:r>
        <w:rPr>
          <w:rFonts w:ascii="Times New Roman" w:cs="Times New Roman" w:eastAsia="Times New Roman" w:hAnsi="Times New Roman"/>
          <w:color w:val="666666"/>
          <w:sz w:val="18"/>
          <w:szCs w:val="18"/>
        </w:rPr>
        <w:t xml:space="preserve">[1] Jensen Huang, All-In Podcast, GTC San José, 20 mars 2026. Citation directe confirmée par Business Insider, Yahoo Finance, CNBC, The Decoder.</w:t>
      </w:r>
    </w:p>
    <w:p>
      <w:pPr>
        <w:spacing w:after="60" w:line="260"/>
      </w:pPr>
      <w:r>
        <w:rPr>
          <w:rFonts w:ascii="Times New Roman" w:cs="Times New Roman" w:eastAsia="Times New Roman" w:hAnsi="Times New Roman"/>
          <w:color w:val="666666"/>
          <w:sz w:val="18"/>
          <w:szCs w:val="18"/>
        </w:rPr>
        <w:t xml:space="preserve">[2] Jensen Huang, keynote GTC 2026, San José, 18 mars 2026. « I'm going to give them probably half of that on top of it as tokens so that they could be amplified 10X. »</w:t>
      </w:r>
    </w:p>
    <w:p>
      <w:pPr>
        <w:spacing w:after="60" w:line="260"/>
      </w:pPr>
      <w:r>
        <w:rPr>
          <w:rFonts w:ascii="Times New Roman" w:cs="Times New Roman" w:eastAsia="Times New Roman" w:hAnsi="Times New Roman"/>
          <w:color w:val="666666"/>
          <w:sz w:val="18"/>
          <w:szCs w:val="18"/>
        </w:rPr>
        <w:t xml:space="preserve">[3] Estimations consolidées SIA (Semiconductor Industry Association), McKinsey, Epoch AI GPU Clusters Dataset (2025).</w:t>
      </w:r>
    </w:p>
    <w:p>
      <w:pPr>
        <w:spacing w:after="60" w:line="260"/>
      </w:pPr>
      <w:r>
        <w:rPr>
          <w:rFonts w:ascii="Times New Roman" w:cs="Times New Roman" w:eastAsia="Times New Roman" w:hAnsi="Times New Roman"/>
          <w:color w:val="666666"/>
          <w:sz w:val="18"/>
          <w:szCs w:val="18"/>
        </w:rPr>
        <w:t xml:space="preserve">[4] Pizzi, F. (2026). AI for Americans First : Protectionnisme IA américain, recomposition de l'ordre technologique mondial et conséquences pour la France et l'Europe (2026-2030). Université Paris Sorbonne. 103 pages, 157 notes. https://github.com/mo0ogly/America-First-IA</w:t>
      </w:r>
    </w:p>
    <w:p>
      <w:pPr>
        <w:spacing w:after="60" w:line="260"/>
      </w:pPr>
      <w:r>
        <w:rPr>
          <w:rFonts w:ascii="Times New Roman" w:cs="Times New Roman" w:eastAsia="Times New Roman" w:hAnsi="Times New Roman"/>
          <w:color w:val="666666"/>
          <w:sz w:val="18"/>
          <w:szCs w:val="18"/>
        </w:rPr>
        <w:t xml:space="preserve">[5] Epoch AI GPU Clusters Dataset (2025) ; IEA Electricity 2024 Report. Détail méthodologique dans le Chapitre II et l'Annexe Économétrique du CACI.</w:t>
      </w:r>
    </w:p>
    <w:p>
      <w:pPr>
        <w:spacing w:after="60" w:line="260"/>
      </w:pPr>
      <w:r>
        <w:rPr>
          <w:rFonts w:ascii="Times New Roman" w:cs="Times New Roman" w:eastAsia="Times New Roman" w:hAnsi="Times New Roman"/>
          <w:color w:val="666666"/>
          <w:sz w:val="18"/>
          <w:szCs w:val="18"/>
        </w:rPr>
        <w:t xml:space="preserve">[6] Bureau of Industry and Security (BIS), rulings export controls ; Section 232 tariffs (janvier 2026). Analyse détaillée dans le Chapitre IV de AI for Americans First.</w:t>
      </w:r>
    </w:p>
    <w:p>
      <w:pPr>
        <w:spacing w:after="60" w:line="260"/>
      </w:pPr>
      <w:r>
        <w:rPr>
          <w:rFonts w:ascii="Times New Roman" w:cs="Times New Roman" w:eastAsia="Times New Roman" w:hAnsi="Times New Roman"/>
          <w:color w:val="666666"/>
          <w:sz w:val="18"/>
          <w:szCs w:val="18"/>
        </w:rPr>
        <w:t xml:space="preserve">[7] Analyse des flux d'investissement dans le Chapitre VI ter (Conséquences pour l'Asie) de AI for Americans First.</w:t>
      </w:r>
    </w:p>
    <w:p>
      <w:pPr>
        <w:spacing w:after="60" w:line="260"/>
      </w:pPr>
      <w:r>
        <w:rPr>
          <w:rFonts w:ascii="Times New Roman" w:cs="Times New Roman" w:eastAsia="Times New Roman" w:hAnsi="Times New Roman"/>
          <w:color w:val="666666"/>
          <w:sz w:val="18"/>
          <w:szCs w:val="18"/>
        </w:rPr>
        <w:t xml:space="preserve">[8] MIT NANDA Initiative (2025). The GenAI Divide: State of AI in Business 2025. 52 entretiens dirigeants, enquête auprès de 153 responsables, analyse de 300 déploiements publics.</w:t>
      </w:r>
    </w:p>
    <w:p>
      <w:pPr>
        <w:spacing w:after="60" w:line="260"/>
      </w:pPr>
      <w:r>
        <w:rPr>
          <w:rFonts w:ascii="Times New Roman" w:cs="Times New Roman" w:eastAsia="Times New Roman" w:hAnsi="Times New Roman"/>
          <w:color w:val="666666"/>
          <w:sz w:val="18"/>
          <w:szCs w:val="18"/>
        </w:rPr>
        <w:t xml:space="preserve">[9] PwC, 28th Annual Global CEO Survey, présenté à Davos, janvier 2026.</w:t>
      </w:r>
    </w:p>
    <w:p>
      <w:pPr>
        <w:spacing w:after="60" w:line="260"/>
      </w:pPr>
      <w:r>
        <w:rPr>
          <w:rFonts w:ascii="Times New Roman" w:cs="Times New Roman" w:eastAsia="Times New Roman" w:hAnsi="Times New Roman"/>
          <w:color w:val="666666"/>
          <w:sz w:val="18"/>
          <w:szCs w:val="18"/>
        </w:rPr>
        <w:t xml:space="preserve">[10] Forrester, AI Investment &amp; ROI Outlook, 2025.</w:t>
      </w:r>
    </w:p>
    <w:p>
      <w:pPr>
        <w:spacing w:after="60" w:line="260"/>
      </w:pPr>
      <w:r>
        <w:rPr>
          <w:rFonts w:ascii="Times New Roman" w:cs="Times New Roman" w:eastAsia="Times New Roman" w:hAnsi="Times New Roman"/>
          <w:color w:val="666666"/>
          <w:sz w:val="18"/>
          <w:szCs w:val="18"/>
        </w:rPr>
        <w:t xml:space="preserve">[11] Gartner, IT Symposium 2025 et prévisions CIO Survey 2026.</w:t>
      </w:r>
    </w:p>
    <w:p>
      <w:pPr>
        <w:spacing w:after="60" w:line="260"/>
      </w:pPr>
      <w:r>
        <w:rPr>
          <w:rFonts w:ascii="Times New Roman" w:cs="Times New Roman" w:eastAsia="Times New Roman" w:hAnsi="Times New Roman"/>
          <w:color w:val="666666"/>
          <w:sz w:val="18"/>
          <w:szCs w:val="18"/>
        </w:rPr>
        <w:t xml:space="preserve">[12] IBM Institute for Business Value, CEO Study, mai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Université Paris Sorbonne — Intelligence Économique et Cybersécurité —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Pizzi, F. (2026) — Note de recherche — Économie de densité cognitive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color w:val="1a1a1a"/>
      <w:sz w:val="26"/>
      <w:szCs w:val="26"/>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2026-03-23T16:33:47.272Z</dcterms:created>
  <dcterms:modified xsi:type="dcterms:W3CDTF">2026-03-23T16:33:47.272Z</dcterms:modified>
</cp:coreProperties>
</file>

<file path=docProps/custom.xml><?xml version="1.0" encoding="utf-8"?>
<Properties xmlns="http://schemas.openxmlformats.org/officeDocument/2006/custom-properties" xmlns:vt="http://schemas.openxmlformats.org/officeDocument/2006/docPropsVTypes"/>
</file>