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ESTUDO DE PESQUISA - FEVEREIRO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Protecionismo de IA, Energia e Semicondutores:</w:t>
        <w:br/>
        <w:t>Trajetorias de Divergencia EUA/Europa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Analise Geoestrategica e Economica Integrada - ANEXO B - WORKING PAPER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78,9% da computacao de IA operacional global = EUA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custo de energia UE/EUA (ajustado-PPP)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3,47:1 ratio CACI EUA/UE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Universidade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Mestrado 2 Inteligencia Economica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fevereiro 2026  |  11 capitulos  |  4 cenarios prospectivos  |  Analise global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Palavras-chave: inteligencia artificial, protecionismo tecnologico, semicondutores, controles de exportacao, computacao soberana, geopolitica da IA, Franca, Estados Unidos, China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ANEXO B - WORKING PAPER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O Indice de Competitividade Ajustado ao Compute (CACI): Medindo o Impacto do Protecionismo em IA Americano sobre a Competitividade Global em IA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Este anexo apresenta o working paper formalizando o indice CACI no formato de um artigo de revista economica. Ele introduz o Indice de Competitividade Ajustado ao Compute (CACI), um indicador composto inedito projetado para medir a competitividade nacional em IA capturando a interacao entre a capacidade de computacao instalada, custos energeticos, PIB e força de trabalho em IA. Codigos JEL: F13 (Politica Comercial), L63 (Semicondutores), O33 (Mudança Tecnologica), O38 (Politica Publica).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B.1 Introdução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inteligencia artificial esta remodelando os fundamentos da competitividade economica global. Desde o lançamento do ChatGPT em novembro de 2022 e a onda subsequente de investimento em modelos de fundaçao, a IA generativa emergiu como uma tecnologia transformadora transversal. No entanto, o acesso a infraestrutura necessaria para treinar e implantar modelos de fronteira—particularmente GPUs avançados e energia acessivel para centros de dados—tornou-se profundamente assimetrico.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Neste contexto, os Estados Unidos estabeleceram progressivamente um regime de controle sobre o acesso as tecnologias de IA de ponta. A partir de outubro de 2022, o Bureau of Industry and Security (BIS) impos restricoes as exportacoes de GPUs avançados para a China. Em janeiro de 2025, a AI Diffusion Rule segmentou o mundo em tres niveis de acesso. Em maio de 2025, a administraçao Trump revogou esta regra e a substituiu em janeiro de 2026 por uma regra final combinando tarifas de 25 por cento (Seçao 232) sobre semicondutores de IA avançados com controles de exportaçao revisados.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B.2 Revisão da Literatura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intuiçao fundacional do nosso quadro deriva da teoria das tecnologias de uso geral (TUGs) de Bresnahan e Trajtenberg (1995). As TUGs sao caracterizadas por sua onipresença, potencial inerente de melhoria e complementaridades de inovaçao.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Brynjolfsson, Rock e Syverson (2019) fornecem o complemento crucial com sua teoria da curva em J: os ganhos de produtividade das TUGs sao atrasados porque as empresas devem investir em ativos complementares.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B.6 A Lacuna de Compute EUA-UE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O quadro CACI permite uma quantificaçao precisa das vantagens de compute entre paises. No snapshot de abril de 2026, a razao bruta de computaçao instalada operacional EUA/UE(13) atinge 17,6:1, traduzida pela formula geometrica Power Mode em uma razao EUA/UE de 3,47:1.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B.9 Conclusão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Este artigo introduziu o CACI como o primeiro quadro quantitativo para medir a competitividade nacional em IA. Nossa validaçao econometrica demonstra que o CACI e um preditor significativo da produtividade em IA (elasticidade 0,251, p&lt;0,01). A janela de açao 2026-2028 e estreita.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Tabela B.1. Variaveis do painel e fontes.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Fonte: Compilaçao do autor. O CACI e calculado de acordo com a formula geometrica Power Mode.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Variavel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Definiçao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Unidade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Fonte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F(r,t)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FLOPs de IA instalados acessiveis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PetaFLOPs (H100-eq)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Epoch AI, Hawkins et al. (2025)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E(r,t)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Custo energia data centers (PPP-ajust)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USD/MWh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Eurostat, EIA, AIE (2025)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L(r,t)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Força de trabalho IA (proxy STEM)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Milhares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OCDE, LinkedIn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R(r,t)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Acesso regulatorio (Tier 1/2/3)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Indice 0-1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BIS, Seçao 232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PROD(r,t)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Ganho produtividade setores IA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ganho anual %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McKinsey, FMI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Notas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Bresnahan, T.F. &amp; Trajtenberg, M. (1995). General purpose technologies.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Brynjolfsson, E., Rock, D. &amp; Syverson, C. (2019). Artificial intelligence and the modern productivity paradox.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3. </w:t>
      </w:r>
      <w:r>
        <w:rPr>
          <w:rFonts w:ascii="Calibri" w:hAnsi="Calibri"/>
          <w:b w:val="0"/>
          <w:i w:val="0"/>
          <w:color w:val="555555"/>
          <w:sz w:val="18"/>
        </w:rPr>
        <w:t>AIE (2025), 'Energy and AI'. Diferencial de custo de energia EUA/UE 1,59x apos ajuste PPP.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Licenca e Isencao de Responsabilidade. Este trabalho, 'AI for Americans First', e disponibilizado sob os termos da licenca Creative Commons Atribuicao-NaoComercial-CompartilhaIgual 4.0 Internacional (CC BY-NC-SA 4.0).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Voce tem a liberdade de compartilhar e adaptar o material para fins nao comerciais, desde que atribua corretamente o trabalho a Fabrice Pizzi (Universidade Paris-Sorbonne) e distribua suas contribuicoes sob a mesma licenca. Este documento e fornecido apenas para fins educacionais e de pesquisa.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Painel publico: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Repositorio: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Anexo B Working Paper CACI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