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w:t>
        <w:br/>
        <w:t>Trajectoires de divergence US/Europe 2024-2030</w:t>
      </w:r>
    </w:p>
    <w:p>
      <w:pPr>
        <w:spacing w:after="360"/>
        <w:jc w:val="center"/>
      </w:pPr>
      <w:r>
        <w:rPr>
          <w:rFonts w:ascii="Calibri" w:hAnsi="Calibri"/>
          <w:b w:val="0"/>
          <w:i/>
          <w:color w:val="555555"/>
          <w:sz w:val="22"/>
        </w:rPr>
        <w:t>Analyse geostrategique et economique integree - ANNEXE C - NOTE ACADEMIQUE</w:t>
      </w:r>
    </w:p>
    <w:tbl>
      <w:tblPr>
        <w:tblW w:type="auto" w:w="0"/>
        <w:tblLook w:firstColumn="1" w:firstRow="1" w:lastColumn="0" w:lastRow="0" w:noHBand="0" w:noVBand="1" w:val="04A0"/>
      </w:tblPr>
      <w:tblGrid>
        <w:gridCol w:w="3249"/>
        <w:gridCol w:w="3249"/>
        <w:gridCol w:w="3249"/>
      </w:tblGrid>
      <w:tr>
        <w:tc>
          <w:tcPr>
            <w:tcW w:type="dxa" w:w="3249"/>
          </w:tcPr>
          <w:p>
            <w:pPr>
              <w:jc w:val="center"/>
            </w:pPr>
            <w:r>
              <w:rPr>
                <w:rFonts w:ascii="Calibri" w:hAnsi="Calibri"/>
                <w:b/>
                <w:i w:val="0"/>
                <w:color w:val="1A2744"/>
                <w:sz w:val="22"/>
              </w:rPr>
              <w:t>78,9 pct du compute IA operationnel mondial = USA</w:t>
            </w:r>
          </w:p>
        </w:tc>
        <w:tc>
          <w:tcPr>
            <w:tcW w:type="dxa" w:w="3249"/>
          </w:tcPr>
          <w:p>
            <w:pPr>
              <w:jc w:val="center"/>
            </w:pPr>
            <w:r>
              <w:rPr>
                <w:rFonts w:ascii="Calibri" w:hAnsi="Calibri"/>
                <w:b/>
                <w:i w:val="0"/>
                <w:color w:val="1A2744"/>
                <w:sz w:val="22"/>
              </w:rPr>
              <w:t>1,59x cout energie EU/US (ajuste-PPA)</w:t>
            </w:r>
          </w:p>
        </w:tc>
        <w:tc>
          <w:tcPr>
            <w:tcW w:type="dxa" w:w="3249"/>
          </w:tcPr>
          <w:p>
            <w:pPr>
              <w:jc w:val="center"/>
            </w:pPr>
            <w:r>
              <w:rPr>
                <w:rFonts w:ascii="Calibri" w:hAnsi="Calibri"/>
                <w:b/>
                <w:i w:val="0"/>
                <w:color w:val="1A2744"/>
                <w:sz w:val="22"/>
              </w:rPr>
              <w:t>3,47:1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11 chapitres  |  4 scenarios prospectifs  |  Analyse globale</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ANNEXE C - NOTE ACADEMIQUE</w:t>
      </w:r>
    </w:p>
    <w:p>
      <w:pPr>
        <w:spacing w:after="240"/>
        <w:jc w:val="center"/>
      </w:pPr>
      <w:r>
        <w:rPr>
          <w:rFonts w:ascii="Calibri" w:hAnsi="Calibri"/>
          <w:b/>
          <w:i w:val="0"/>
          <w:color w:val="1A2744"/>
          <w:sz w:val="36"/>
        </w:rPr>
        <w:t>AI for Americans First : protectionnisme IA americain, recomposition de l'ordre technologique mondial et consequences pour la France et l'Europe (2026-2030)</w:t>
      </w:r>
    </w:p>
    <w:p>
      <w:pPr>
        <w:spacing w:after="200" w:line="300" w:lineRule="auto"/>
      </w:pPr>
      <w:r>
        <w:rPr>
          <w:rFonts w:ascii="Calibri" w:hAnsi="Calibri"/>
          <w:b w:val="0"/>
          <w:i/>
          <w:color w:val="555555"/>
          <w:sz w:val="22"/>
        </w:rPr>
        <w:t>Cette annexe presente la Note Academique de synthese de la these. Cette etude analyse les mecanismes et les consequences du protectionnisme IA americain sous l'administration Trump 2.0, en integrant quatre dimensions : energie, semi-conducteurs, compute et regulation.</w:t>
      </w:r>
    </w:p>
    <w:p>
      <w:pPr>
        <w:spacing w:before="280" w:after="120"/>
      </w:pPr>
      <w:r>
        <w:rPr>
          <w:rFonts w:ascii="Calibri" w:hAnsi="Calibri"/>
          <w:b/>
          <w:i w:val="0"/>
          <w:color w:val="1A2744"/>
          <w:sz w:val="32"/>
        </w:rPr>
        <w:t>C.1 Objet et problematique</w:t>
      </w:r>
    </w:p>
    <w:p>
      <w:pPr>
        <w:spacing w:after="120" w:line="300" w:lineRule="auto"/>
      </w:pPr>
      <w:r>
        <w:rPr>
          <w:rFonts w:ascii="Calibri" w:hAnsi="Calibri"/>
          <w:b w:val="0"/>
          <w:i w:val="0"/>
          <w:color w:val="202020"/>
          <w:sz w:val="22"/>
        </w:rPr>
        <w:t>L'intelligence artificielle s'est imposee depuis 2023 comme le principal vecteur d'innovation economique et de competition geopolitique. Sur le snapshot avril 2026, les Etats-Unis controlent 78,9 pour cent du compute IA operationnel mondial.</w:t>
      </w:r>
    </w:p>
    <w:p>
      <w:pPr>
        <w:spacing w:before="280" w:after="120"/>
      </w:pPr>
      <w:r>
        <w:rPr>
          <w:rFonts w:ascii="Calibri" w:hAnsi="Calibri"/>
          <w:b/>
          <w:i w:val="0"/>
          <w:color w:val="1A2744"/>
          <w:sz w:val="32"/>
        </w:rPr>
        <w:t>C.2 Cadre methodologique</w:t>
      </w:r>
    </w:p>
    <w:p>
      <w:pPr>
        <w:spacing w:after="120" w:line="300" w:lineRule="auto"/>
      </w:pPr>
      <w:r>
        <w:rPr>
          <w:rFonts w:ascii="Calibri" w:hAnsi="Calibri"/>
          <w:b w:val="0"/>
          <w:i w:val="0"/>
          <w:color w:val="202020"/>
          <w:sz w:val="22"/>
        </w:rPr>
        <w:t>La methodologie repose sur trois piliers : diagnostic empirique 2020-2026, indice CACI (Compute-Adjusted Competitiveness Index) et matrice scenarielle 2x2.</w:t>
      </w:r>
    </w:p>
    <w:p>
      <w:pPr>
        <w:spacing w:after="120" w:line="300" w:lineRule="auto"/>
      </w:pPr>
      <w:r>
        <w:rPr>
          <w:rFonts w:ascii="Calibri" w:hAnsi="Calibri"/>
          <w:b w:val="0"/>
          <w:i w:val="0"/>
          <w:color w:val="202020"/>
          <w:sz w:val="22"/>
        </w:rPr>
        <w:t>Un addendum prospectif formalise le 'Grand Decouplage 2028' fonde sur les Cloud Sovereignty Mandates americains.</w:t>
      </w:r>
    </w:p>
    <w:p>
      <w:pPr>
        <w:spacing w:after="40"/>
      </w:pPr>
      <w:r>
        <w:rPr>
          <w:rFonts w:ascii="Calibri" w:hAnsi="Calibri"/>
          <w:b/>
          <w:i w:val="0"/>
          <w:color w:val="1A2744"/>
          <w:sz w:val="20"/>
        </w:rPr>
        <w:t>Tableau C.1. Synthese des consequences regionales.</w:t>
      </w:r>
    </w:p>
    <w:p>
      <w:pPr>
        <w:spacing w:after="80"/>
      </w:pPr>
      <w:r>
        <w:rPr>
          <w:rFonts w:ascii="Calibri" w:hAnsi="Calibri"/>
          <w:b w:val="0"/>
          <w:i/>
          <w:color w:val="555555"/>
          <w:sz w:val="18"/>
        </w:rPr>
        <w:t>Source : construction de l'auteur, snapshot avril 2026.</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Region</w:t>
            </w:r>
          </w:p>
        </w:tc>
        <w:tc>
          <w:tcPr>
            <w:tcW w:type="dxa" w:w="1949"/>
          </w:tcPr>
          <w:p>
            <w:r/>
            <w:r>
              <w:rPr>
                <w:rFonts w:ascii="Calibri" w:hAnsi="Calibri"/>
                <w:b/>
                <w:i w:val="0"/>
                <w:color w:val="1A2744"/>
                <w:sz w:val="20"/>
              </w:rPr>
              <w:t>Tier</w:t>
            </w:r>
          </w:p>
        </w:tc>
        <w:tc>
          <w:tcPr>
            <w:tcW w:type="dxa" w:w="1949"/>
          </w:tcPr>
          <w:p>
            <w:r/>
            <w:r>
              <w:rPr>
                <w:rFonts w:ascii="Calibri" w:hAnsi="Calibri"/>
                <w:b/>
                <w:i w:val="0"/>
                <w:color w:val="1A2744"/>
                <w:sz w:val="20"/>
              </w:rPr>
              <w:t>Dynamique principale</w:t>
            </w:r>
          </w:p>
        </w:tc>
        <w:tc>
          <w:tcPr>
            <w:tcW w:type="dxa" w:w="1949"/>
          </w:tcPr>
          <w:p>
            <w:r/>
            <w:r>
              <w:rPr>
                <w:rFonts w:ascii="Calibri" w:hAnsi="Calibri"/>
                <w:b/>
                <w:i w:val="0"/>
                <w:color w:val="1A2744"/>
                <w:sz w:val="20"/>
              </w:rPr>
              <w:t>Atout strategique</w:t>
            </w:r>
          </w:p>
        </w:tc>
        <w:tc>
          <w:tcPr>
            <w:tcW w:type="dxa" w:w="1949"/>
          </w:tcPr>
          <w:p>
            <w:r/>
            <w:r>
              <w:rPr>
                <w:rFonts w:ascii="Calibri" w:hAnsi="Calibri"/>
                <w:b/>
                <w:i w:val="0"/>
                <w:color w:val="1A2744"/>
                <w:sz w:val="20"/>
              </w:rPr>
              <w:t>Risque principal</w:t>
            </w:r>
          </w:p>
        </w:tc>
      </w:tr>
      <w:tr>
        <w:tc>
          <w:tcPr>
            <w:tcW w:type="dxa" w:w="1949"/>
          </w:tcPr>
          <w:p>
            <w:r/>
            <w:r>
              <w:rPr>
                <w:rFonts w:ascii="Calibri" w:hAnsi="Calibri"/>
                <w:b w:val="0"/>
                <w:i w:val="0"/>
                <w:color w:val="202020"/>
                <w:sz w:val="20"/>
              </w:rPr>
              <w:t>France / Europe</w:t>
            </w:r>
          </w:p>
        </w:tc>
        <w:tc>
          <w:tcPr>
            <w:tcW w:type="dxa" w:w="1949"/>
          </w:tcPr>
          <w:p>
            <w:r/>
            <w:r>
              <w:rPr>
                <w:rFonts w:ascii="Calibri" w:hAnsi="Calibri"/>
                <w:b w:val="0"/>
                <w:i w:val="0"/>
                <w:color w:val="202020"/>
                <w:sz w:val="20"/>
              </w:rPr>
              <w:t>1</w:t>
            </w:r>
          </w:p>
        </w:tc>
        <w:tc>
          <w:tcPr>
            <w:tcW w:type="dxa" w:w="1949"/>
          </w:tcPr>
          <w:p>
            <w:r/>
            <w:r>
              <w:rPr>
                <w:rFonts w:ascii="Calibri" w:hAnsi="Calibri"/>
                <w:b w:val="0"/>
                <w:i w:val="0"/>
                <w:color w:val="202020"/>
                <w:sz w:val="20"/>
              </w:rPr>
              <w:t>Dependance GPU + cloud US ; reponse InvestAI</w:t>
            </w:r>
          </w:p>
        </w:tc>
        <w:tc>
          <w:tcPr>
            <w:tcW w:type="dxa" w:w="1949"/>
          </w:tcPr>
          <w:p>
            <w:r/>
            <w:r>
              <w:rPr>
                <w:rFonts w:ascii="Calibri" w:hAnsi="Calibri"/>
                <w:b w:val="0"/>
                <w:i w:val="0"/>
                <w:color w:val="202020"/>
                <w:sz w:val="20"/>
              </w:rPr>
              <w:t>Nucleaire (70% mix), Mistral, ASML, AI Act</w:t>
            </w:r>
          </w:p>
        </w:tc>
        <w:tc>
          <w:tcPr>
            <w:tcW w:type="dxa" w:w="1949"/>
          </w:tcPr>
          <w:p>
            <w:r/>
            <w:r>
              <w:rPr>
                <w:rFonts w:ascii="Calibri" w:hAnsi="Calibri"/>
                <w:b w:val="0"/>
                <w:i w:val="0"/>
                <w:color w:val="202020"/>
                <w:sz w:val="20"/>
              </w:rPr>
              <w:t>Vendor lock-in geopolitique ; F_sov bas</w:t>
            </w:r>
          </w:p>
        </w:tc>
      </w:tr>
    </w:tbl>
    <w:p/>
    <w:p>
      <w:pPr>
        <w:spacing w:after="120"/>
        <w:jc w:val="left"/>
      </w:pPr>
      <w:r>
        <w:rPr>
          <w:rFonts w:ascii="Calibri" w:hAnsi="Calibri"/>
          <w:b w:val="0"/>
          <w:i/>
          <w:color w:val="555555"/>
          <w:sz w:val="18"/>
        </w:rPr>
        <w:t>Sources principales : AIE (2025-2026), Banque mondiale (2025), Epoch AI, McKinsey, Synergy Research.</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Snapshot avril 2026 : USA 78,9% du compute IA operationnel mondial.</w:t>
      </w:r>
    </w:p>
    <w:p>
      <w:pPr>
        <w:spacing w:after="80" w:line="276" w:lineRule="auto"/>
      </w:pPr>
      <w:r>
        <w:rPr>
          <w:rFonts w:ascii="Calibri" w:hAnsi="Calibri"/>
          <w:b/>
          <w:i w:val="0"/>
          <w:color w:val="B8922F"/>
          <w:sz w:val="18"/>
        </w:rPr>
        <w:t xml:space="preserve">2. </w:t>
      </w:r>
      <w:r>
        <w:rPr>
          <w:rFonts w:ascii="Calibri" w:hAnsi="Calibri"/>
          <w:b w:val="0"/>
          <w:i w:val="0"/>
          <w:color w:val="555555"/>
          <w:sz w:val="18"/>
        </w:rPr>
        <w:t>Indice CACI Power Mode valide econometriquement (beta = 0,251).</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Annexe C Note academique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