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555555"/>
          <w:sz w:val="20"/>
        </w:rPr>
        <w:t>RESEARCH STUDY - FEBRUARY 2026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1A2744"/>
          <w:sz w:val="52"/>
        </w:rPr>
        <w:t>AI FOR AMERICANS FIRST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555"/>
          <w:sz w:val="24"/>
        </w:rPr>
        <w:t>AI Protectionism, Energy and Semiconductors:</w:t>
        <w:br/>
        <w:t>US/Europe Divergence Trajectories 2024-2030</w:t>
      </w:r>
    </w:p>
    <w:p>
      <w:pPr>
        <w:spacing w:after="360"/>
        <w:jc w:val="center"/>
      </w:pPr>
      <w:r>
        <w:rPr>
          <w:rFonts w:ascii="Calibri" w:hAnsi="Calibri"/>
          <w:b w:val="0"/>
          <w:i/>
          <w:color w:val="555555"/>
          <w:sz w:val="22"/>
        </w:rPr>
        <w:t>Integrated Geostrategic and Economic Analysis - ANNEX D - RESEARCH NOTE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78.9% of global operational AI compute = USA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1.59x energy cost EU/US (PPP-adjusted)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3.47:1 CACI US/EU ratio (Power Mode)</w:t>
            </w:r>
          </w:p>
        </w:tc>
      </w:tr>
    </w:tbl>
    <w:p>
      <w:pPr>
        <w:spacing w:after="160"/>
      </w:pPr>
    </w:p>
    <w:p>
      <w:pPr>
        <w:spacing w:after="40"/>
        <w:jc w:val="center"/>
      </w:pPr>
      <w:r>
        <w:rPr>
          <w:rFonts w:ascii="Calibri" w:hAnsi="Calibri"/>
          <w:b/>
          <w:i w:val="0"/>
          <w:color w:val="1A2744"/>
          <w:sz w:val="24"/>
        </w:rPr>
        <w:t>Fabrice Pizzi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0"/>
        </w:rPr>
        <w:t>Paris-Sorbonne University</w:t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55555"/>
          <w:sz w:val="20"/>
        </w:rPr>
        <w:t>Master 2 Economic Intelligence - Intelligence Warfare</w:t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55555"/>
          <w:sz w:val="20"/>
        </w:rPr>
        <w:t>Paris - February 2026  |  11 chapters  |  4 prospective scenarios  |  Global analysis</w:t>
      </w:r>
    </w:p>
    <w:p>
      <w:pPr>
        <w:spacing w:after="480"/>
        <w:jc w:val="center"/>
      </w:pPr>
      <w:r>
        <w:rPr>
          <w:rFonts w:ascii="Calibri" w:hAnsi="Calibri"/>
          <w:b w:val="0"/>
          <w:i/>
          <w:color w:val="555555"/>
          <w:sz w:val="18"/>
        </w:rPr>
        <w:t>Keywords: artificial intelligence, technological protectionism, semiconductors, export controls, sovereign compute, AI geopolitics, France, United States, China</w:t>
      </w:r>
    </w:p>
    <w:p>
      <w:pPr>
        <w:spacing w:after="40"/>
        <w:jc w:val="center"/>
      </w:pPr>
      <w:r>
        <w:rPr>
          <w:rFonts w:ascii="Calibri" w:hAnsi="Calibri"/>
          <w:b/>
          <w:i w:val="0"/>
          <w:color w:val="B8922F"/>
          <w:sz w:val="22"/>
        </w:rPr>
        <w:t>ANNEX D - RESEARCH NOTE</w:t>
      </w:r>
    </w:p>
    <w:p>
      <w:pPr>
        <w:spacing w:after="240"/>
        <w:jc w:val="center"/>
      </w:pPr>
      <w:r>
        <w:rPr>
          <w:rFonts w:ascii="Calibri" w:hAnsi="Calibri"/>
          <w:b/>
          <w:i w:val="0"/>
          <w:color w:val="1A2744"/>
          <w:sz w:val="36"/>
        </w:rPr>
        <w:t>Cognitive Density Economy and Market Structuring: An Economic Intelligence Analysis of the Huang Doctrine on AI Token Consumption</w:t>
      </w:r>
    </w:p>
    <w:p>
      <w:pPr>
        <w:spacing w:after="200" w:line="300" w:lineRule="auto"/>
      </w:pPr>
      <w:r>
        <w:rPr>
          <w:rFonts w:ascii="Calibri" w:hAnsi="Calibri"/>
          <w:b w:val="0"/>
          <w:i/>
          <w:color w:val="555555"/>
          <w:sz w:val="22"/>
        </w:rPr>
        <w:t>This annex presents the March 2026 research note on the cognitive density economy, written following the statement by Jensen Huang (CEO of NVIDIA) on March 20: 'If an engineer paid $500,000 does not consume at least $250,000 of AI tokens per year, I would be deeply alarmed.' The note proposes an economic intelligence analysis of this statement, placing it in the context of NVIDIA's dominant market position (80% share) and the American protectionist architecture documented in the CACI Power Mode index (3.47:1 US/EU ratio). The analysis demonstrates that the prescription of massive token consumption is more about market structuring than managerial advice.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D.1 Context: A High-Impact Statement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On March 20, 2026, at the San Jose GTC, Jensen Huang stated that an engineer earning $500,000 who doesn't spend at least $250,000 on AI tokens would be a cause for alarm. He confirmed NVIDIA is attempting to spend $2 billion on tokens for its own engineering team.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Professional reception focused almost exclusively on the managerial dimension: productivity through intensive AI use. This note proposes a different reading based on economic intelligence.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D.2 Analytical Framework: Who is Speaking?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The first reflex in economic intelligence is to identify the speaker's structural position. Jensen Huang is the CEO of NVIDIA, the world's leading supplier of AI accelerators (80% market share). NVIDIA is the primary beneficiary of increased token consumption worldwide.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Therefore, the 'consume half your salary in tokens' directive is not a neutral managerial tip; it is a market-structuring act. Every dollar spent on tokens generates demand for compute executed on NVIDIA hardware.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D.5 Cognitive Density Economy: From Managerial to Geostrategic Meaning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Cognitive density refers not just to individual productivity, but to a new global power regime. A nation's wealth is increasingly measured by its capacity to transform compute into reliable, verifiable, and sovereign results.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This is formalized by the CACI Power Mode (F^0.40 x L^0.20 x R^0.15 / E^0.25). On the April 2026 snapshot, the US/EU CACI ratio stands at 3.47:1, driven by a 17.6:1 raw operational compute gap and a 1.59x energy cost advantage for the US.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D.7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The Huang doctrine on cognitive density should be read not as a universal productivity mandate, but as a signal of market structuring whose structural beneficiaries (NVIDIA, US hyperscalers) are identified. For France and Europe, the goal is not technological autarky, but the capacity to choose: mastering the ratio between produced value and accepted dependence.</w:t>
      </w:r>
    </w:p>
    <w:p>
      <w:pPr>
        <w:spacing w:after="40"/>
      </w:pPr>
      <w:r>
        <w:rPr>
          <w:rFonts w:ascii="Calibri" w:hAnsi="Calibri"/>
          <w:b/>
          <w:i w:val="0"/>
          <w:color w:val="1A2744"/>
          <w:sz w:val="20"/>
        </w:rPr>
        <w:t>Table D.1. Empirical data on GenAI ROI in enterprises (2025-2026).</w:t>
      </w:r>
    </w:p>
    <w:p>
      <w:pPr>
        <w:spacing w:after="80"/>
      </w:pPr>
      <w:r>
        <w:rPr>
          <w:rFonts w:ascii="Calibri" w:hAnsi="Calibri"/>
          <w:b w:val="0"/>
          <w:i/>
          <w:color w:val="555555"/>
          <w:sz w:val="18"/>
        </w:rPr>
        <w:t>Source: Author's compilation from independent surveys.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Source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Year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Main Finding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MIT NANDA 'The GenAI Divide'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2025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95% of GenAI projects in enterprises produced no measurable P&amp;L impact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PwC CEO Survey (Davos)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2026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56% of CEOs state AI has not produced significant benefits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Gartner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2025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60% of AI projects abandoned by end of 2026 due to non-AI-ready data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Notes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1. </w:t>
      </w:r>
      <w:r>
        <w:rPr>
          <w:rFonts w:ascii="Calibri" w:hAnsi="Calibri"/>
          <w:b w:val="0"/>
          <w:i w:val="0"/>
          <w:color w:val="555555"/>
          <w:sz w:val="18"/>
        </w:rPr>
        <w:t>Jensen Huang, All-In Podcast, March 20, 2026.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2. </w:t>
      </w:r>
      <w:r>
        <w:rPr>
          <w:rFonts w:ascii="Calibri" w:hAnsi="Calibri"/>
          <w:b w:val="0"/>
          <w:i w:val="0"/>
          <w:color w:val="555555"/>
          <w:sz w:val="18"/>
        </w:rPr>
        <w:t>NVIDIA Market Share: 80% (SIA, McKinsey).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3. </w:t>
      </w:r>
      <w:r>
        <w:rPr>
          <w:rFonts w:ascii="Calibri" w:hAnsi="Calibri"/>
          <w:b w:val="0"/>
          <w:i w:val="0"/>
          <w:color w:val="555555"/>
          <w:sz w:val="18"/>
        </w:rPr>
        <w:t>CACI Power Mode ratio US/EU: 3.47:1 (Snapshot April 2026).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4. </w:t>
      </w:r>
      <w:r>
        <w:rPr>
          <w:rFonts w:ascii="Calibri" w:hAnsi="Calibri"/>
          <w:b w:val="0"/>
          <w:i w:val="0"/>
          <w:color w:val="555555"/>
          <w:sz w:val="18"/>
        </w:rPr>
        <w:t>MIT NANDA 'The GenAI Divide' (2025).</w:t>
      </w:r>
    </w:p>
    <w:p/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License and Disclaimer. This work, 'AI for Americans First', is made available under the terms of the Creative Commons Attribution - NonCommercial - ShareAlike 4.0 International (CC BY-NC-SA 4.0) license.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You are free to share and adapt the material for non-commercial purposes, provided you properly attribute the work to Fabrice Pizzi (Paris-Sorbonne University) and distribute your contributions under the same license. This document is provided for educational and research purposes only.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Public dashboard: https://mo0ogly.github.io/America-First-IA/dashboard/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Repository: https://github.com/mo0ogly/America-First-IA</w:t>
      </w:r>
    </w:p>
    <w:p>
      <w:pPr>
        <w:spacing w:after="0"/>
        <w:jc w:val="center"/>
      </w:pPr>
      <w:r>
        <w:rPr>
          <w:rFonts w:ascii="Calibri" w:hAnsi="Calibri"/>
          <w:b w:val="0"/>
          <w:i/>
          <w:color w:val="555555"/>
          <w:sz w:val="16"/>
        </w:rPr>
        <w:t>AI for Americans First - Fabrice Pizzi - Annex D Huang Doctrine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