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445D5" w14:textId="77777777" w:rsidR="00BD61C3" w:rsidRPr="00BD61C3" w:rsidRDefault="00BD61C3" w:rsidP="00BD61C3">
      <w:pPr>
        <w:shd w:val="clear" w:color="auto" w:fill="D4AC0D"/>
        <w:jc w:val="center"/>
        <w:rPr>
          <w:lang w:val="fr-FR"/>
        </w:rPr>
      </w:pPr>
      <w:r>
        <w:rPr>
          <w:b/>
          <w:bCs/>
          <w:color w:val="666666"/>
          <w:sz w:val="22"/>
          <w:szCs w:val="22"/>
          <w:lang w:val="fr-FR"/>
        </w:rPr>
        <w:t xml:space="preserve"> </w:t>
      </w:r>
    </w:p>
    <w:p w14:paraId="3A87BCF8" w14:textId="77777777" w:rsidR="00BD61C3" w:rsidRPr="00BD61C3" w:rsidRDefault="00BD61C3" w:rsidP="00BD61C3">
      <w:pPr>
        <w:shd w:val="clear" w:color="auto" w:fill="D4AC0D"/>
        <w:jc w:val="center"/>
        <w:rPr>
          <w:lang w:val="fr-FR"/>
        </w:rPr>
      </w:pPr>
      <w:r>
        <w:rPr>
          <w:rFonts w:ascii="Calibri" w:eastAsia="Calibri" w:hAnsi="Calibri" w:cs="Calibri"/>
          <w:b/>
          <w:bCs/>
          <w:color w:val="0B1929"/>
          <w:sz w:val="22"/>
          <w:szCs w:val="22"/>
          <w:lang w:val="fr-FR"/>
        </w:rPr>
        <w:t>ÉTUDE DE RECHERCHE — FÉVRIER 2026</w:t>
      </w:r>
    </w:p>
    <w:p w14:paraId="04693F9A" w14:textId="77777777" w:rsidR="00BD61C3" w:rsidRPr="00BD61C3" w:rsidRDefault="00BD61C3" w:rsidP="00BD61C3">
      <w:pPr>
        <w:shd w:val="clear" w:color="auto" w:fill="D4AC0D"/>
        <w:rPr>
          <w:lang w:val="fr-FR"/>
        </w:rPr>
      </w:pPr>
      <w:r>
        <w:rPr>
          <w:sz w:val="16"/>
          <w:szCs w:val="16"/>
          <w:lang w:val="fr-FR"/>
        </w:rPr>
        <w:t xml:space="preserve"> </w:t>
      </w:r>
    </w:p>
    <w:p w14:paraId="54B9B1B0" w14:textId="77777777" w:rsidR="00BD61C3" w:rsidRPr="00BD61C3" w:rsidRDefault="00BD61C3" w:rsidP="00BD61C3">
      <w:pPr>
        <w:spacing w:before="600"/>
        <w:rPr>
          <w:lang w:val="fr-FR"/>
        </w:rPr>
      </w:pPr>
    </w:p>
    <w:p w14:paraId="72E2965C" w14:textId="77777777" w:rsidR="00BD61C3" w:rsidRPr="00BD61C3" w:rsidRDefault="00BD61C3" w:rsidP="00BD61C3">
      <w:pPr>
        <w:spacing w:before="600"/>
        <w:rPr>
          <w:lang w:val="fr-FR"/>
        </w:rPr>
      </w:pPr>
    </w:p>
    <w:p w14:paraId="79AF3710" w14:textId="77777777" w:rsidR="00BD61C3" w:rsidRPr="00BD61C3" w:rsidRDefault="00BD61C3" w:rsidP="00BD61C3">
      <w:pPr>
        <w:spacing w:before="200" w:after="100"/>
        <w:jc w:val="center"/>
        <w:rPr>
          <w:lang w:val="fr-FR"/>
        </w:rPr>
      </w:pPr>
      <w:r>
        <w:rPr>
          <w:rFonts w:ascii="Calibri" w:eastAsia="Calibri" w:hAnsi="Calibri" w:cs="Calibri"/>
          <w:b/>
          <w:bCs/>
          <w:color w:val="0B1929"/>
          <w:sz w:val="72"/>
          <w:szCs w:val="72"/>
          <w:lang w:val="fr-FR"/>
        </w:rPr>
        <w:t>AI FOR AMERICANS FIRST</w:t>
      </w:r>
    </w:p>
    <w:p w14:paraId="51E05387" w14:textId="77777777" w:rsidR="00BD61C3" w:rsidRPr="00BD61C3" w:rsidRDefault="00BD61C3" w:rsidP="00BD61C3">
      <w:pPr>
        <w:pBdr>
          <w:bottom w:val="single" w:sz="12" w:space="1" w:color="D4AC0D"/>
        </w:pBdr>
        <w:spacing w:before="200" w:after="200"/>
        <w:ind w:left="2880" w:right="2880"/>
        <w:jc w:val="center"/>
        <w:rPr>
          <w:lang w:val="fr-FR"/>
        </w:rPr>
      </w:pPr>
    </w:p>
    <w:p w14:paraId="25F13F7B" w14:textId="77777777" w:rsidR="00BD61C3" w:rsidRPr="00BD61C3" w:rsidRDefault="00BD61C3" w:rsidP="00BD61C3">
      <w:pPr>
        <w:spacing w:before="300" w:after="80"/>
        <w:jc w:val="center"/>
        <w:rPr>
          <w:lang w:val="fr-FR"/>
        </w:rPr>
      </w:pPr>
      <w:r>
        <w:rPr>
          <w:rFonts w:ascii="Calibri" w:eastAsia="Calibri" w:hAnsi="Calibri" w:cs="Calibri"/>
          <w:color w:val="0B1929"/>
          <w:sz w:val="30"/>
          <w:szCs w:val="30"/>
          <w:lang w:val="fr-FR"/>
        </w:rPr>
        <w:t>Protectionnisme IA, Énergie et Semi-conducteurs :</w:t>
      </w:r>
    </w:p>
    <w:p w14:paraId="331D1891" w14:textId="77777777" w:rsidR="00BD61C3" w:rsidRPr="00BD61C3" w:rsidRDefault="00BD61C3" w:rsidP="00BD61C3">
      <w:pPr>
        <w:spacing w:before="80" w:after="80"/>
        <w:jc w:val="center"/>
        <w:rPr>
          <w:lang w:val="fr-FR"/>
        </w:rPr>
      </w:pPr>
      <w:r>
        <w:rPr>
          <w:rFonts w:ascii="Calibri" w:eastAsia="Calibri" w:hAnsi="Calibri" w:cs="Calibri"/>
          <w:color w:val="0B1929"/>
          <w:sz w:val="30"/>
          <w:szCs w:val="30"/>
          <w:lang w:val="fr-FR"/>
        </w:rPr>
        <w:t>Trajectoires de Divergence US/Europe 2024–2030</w:t>
      </w:r>
    </w:p>
    <w:p w14:paraId="7E444611" w14:textId="77777777" w:rsidR="00BD61C3" w:rsidRPr="00BD61C3" w:rsidRDefault="00BD61C3" w:rsidP="00BD61C3">
      <w:pPr>
        <w:spacing w:before="200" w:after="100"/>
        <w:jc w:val="center"/>
        <w:rPr>
          <w:lang w:val="fr-FR"/>
        </w:rPr>
      </w:pPr>
      <w:r>
        <w:rPr>
          <w:rFonts w:ascii="Calibri" w:eastAsia="Calibri" w:hAnsi="Calibri" w:cs="Calibri"/>
          <w:i/>
          <w:iCs/>
          <w:color w:val="2E86C1"/>
          <w:sz w:val="26"/>
          <w:szCs w:val="26"/>
          <w:lang w:val="fr-FR"/>
        </w:rPr>
        <w:t>Analyse Géostratégique et Économique Intégrée</w:t>
      </w:r>
    </w:p>
    <w:p w14:paraId="1C4100C0" w14:textId="203E7468" w:rsidR="00BD61C3" w:rsidRPr="00BD61C3" w:rsidRDefault="00BD61C3" w:rsidP="00BD61C3">
      <w:pPr>
        <w:spacing w:before="400"/>
        <w:jc w:val="center"/>
        <w:rPr>
          <w:b/>
          <w:bCs/>
          <w:sz w:val="32"/>
          <w:szCs w:val="32"/>
          <w:lang w:val="fr-FR"/>
        </w:rPr>
      </w:pPr>
      <w:r>
        <w:rPr>
          <w:b/>
          <w:bCs/>
          <w:sz w:val="32"/>
          <w:szCs w:val="32"/>
          <w:lang w:val="fr-FR"/>
        </w:rPr>
        <w:t>FAQ 3</w:t>
      </w:r>
    </w:p>
    <w:p w14:paraId="04C681EC" w14:textId="77777777" w:rsidR="00BD61C3" w:rsidRPr="00BD61C3" w:rsidRDefault="00BD61C3" w:rsidP="00BD61C3">
      <w:pPr>
        <w:spacing w:before="400" w:after="80"/>
        <w:jc w:val="center"/>
        <w:rPr>
          <w:lang w:val="fr-FR"/>
        </w:rPr>
      </w:pPr>
      <w:r>
        <w:rPr>
          <w:rFonts w:ascii="Calibri" w:eastAsia="Calibri" w:hAnsi="Calibri" w:cs="Calibri"/>
          <w:b/>
          <w:bCs/>
          <w:color w:val="0B1929"/>
          <w:sz w:val="36"/>
          <w:szCs w:val="36"/>
          <w:lang w:val="fr-FR"/>
        </w:rPr>
        <w:t>Fabrice Pizzi</w:t>
      </w:r>
    </w:p>
    <w:p w14:paraId="4E72E8BD" w14:textId="77777777" w:rsidR="00BD61C3" w:rsidRPr="00BD61C3" w:rsidRDefault="00BD61C3" w:rsidP="00BD61C3">
      <w:pPr>
        <w:spacing w:before="80" w:after="80"/>
        <w:jc w:val="center"/>
        <w:rPr>
          <w:lang w:val="fr-FR"/>
        </w:rPr>
      </w:pPr>
      <w:r>
        <w:rPr>
          <w:rFonts w:ascii="Calibri" w:eastAsia="Calibri" w:hAnsi="Calibri" w:cs="Calibri"/>
          <w:color w:val="2E86C1"/>
          <w:sz w:val="28"/>
          <w:szCs w:val="28"/>
          <w:lang w:val="fr-FR"/>
        </w:rPr>
        <w:t>Université Sorbonne</w:t>
      </w:r>
    </w:p>
    <w:p w14:paraId="295788BB" w14:textId="77777777" w:rsidR="00BD61C3" w:rsidRPr="00BD61C3" w:rsidRDefault="00BD61C3" w:rsidP="00BD61C3">
      <w:pPr>
        <w:spacing w:before="80" w:after="80"/>
        <w:jc w:val="center"/>
        <w:rPr>
          <w:lang w:val="fr-FR"/>
        </w:rPr>
      </w:pPr>
      <w:r>
        <w:rPr>
          <w:rFonts w:ascii="Calibri" w:eastAsia="Calibri" w:hAnsi="Calibri" w:cs="Calibri"/>
          <w:i/>
          <w:iCs/>
          <w:color w:val="6B7B8D"/>
          <w:lang w:val="fr-FR"/>
        </w:rPr>
        <w:t>Master Intelligence Économique — Intelligence Warfare</w:t>
      </w:r>
    </w:p>
    <w:p w14:paraId="1E254142" w14:textId="77777777" w:rsidR="00BD61C3" w:rsidRPr="00BD61C3" w:rsidRDefault="00BD61C3" w:rsidP="00BD61C3">
      <w:pPr>
        <w:spacing w:before="400"/>
        <w:jc w:val="both"/>
        <w:rPr>
          <w:sz w:val="4"/>
          <w:szCs w:val="4"/>
          <w:lang w:val="fr-FR"/>
        </w:rPr>
      </w:pPr>
    </w:p>
    <w:p w14:paraId="164533DB" w14:textId="77777777" w:rsidR="00BD61C3" w:rsidRPr="00BD61C3" w:rsidRDefault="00BD61C3" w:rsidP="00BD61C3">
      <w:pPr>
        <w:shd w:val="clear" w:color="auto" w:fill="F0F3F6"/>
        <w:spacing w:before="200" w:after="120"/>
        <w:ind w:left="1440" w:right="1440"/>
        <w:jc w:val="both"/>
        <w:rPr>
          <w:lang w:val="fr-FR"/>
        </w:rPr>
      </w:pPr>
      <w:r>
        <w:rPr>
          <w:sz w:val="16"/>
          <w:szCs w:val="16"/>
          <w:lang w:val="fr-FR"/>
        </w:rPr>
        <w:t xml:space="preserve"> </w:t>
      </w:r>
    </w:p>
    <w:p w14:paraId="77E318D8" w14:textId="77777777" w:rsidR="00BD61C3" w:rsidRPr="00BD61C3" w:rsidRDefault="00BD61C3" w:rsidP="00BD61C3">
      <w:pPr>
        <w:shd w:val="clear" w:color="auto" w:fill="F0F3F6"/>
        <w:ind w:left="1440" w:right="1440"/>
        <w:jc w:val="both"/>
        <w:rPr>
          <w:lang w:val="fr-FR"/>
        </w:rPr>
      </w:pPr>
      <w:r>
        <w:rPr>
          <w:rFonts w:ascii="Calibri" w:eastAsia="Calibri" w:hAnsi="Calibri" w:cs="Calibri"/>
          <w:b/>
          <w:bCs/>
          <w:color w:val="C0392B"/>
          <w:sz w:val="36"/>
          <w:szCs w:val="36"/>
          <w:lang w:val="fr-FR"/>
        </w:rPr>
        <w:t>78,9%</w:t>
      </w:r>
      <w:r>
        <w:rPr>
          <w:rFonts w:ascii="Calibri" w:eastAsia="Calibri" w:hAnsi="Calibri" w:cs="Calibri"/>
          <w:color w:val="6B7B8D"/>
          <w:sz w:val="20"/>
          <w:szCs w:val="20"/>
          <w:lang w:val="fr-FR"/>
        </w:rPr>
        <w:t xml:space="preserve"> compute IA mondial = USA     </w:t>
      </w:r>
      <w:r>
        <w:rPr>
          <w:rFonts w:ascii="Calibri" w:eastAsia="Calibri" w:hAnsi="Calibri" w:cs="Calibri"/>
          <w:b/>
          <w:bCs/>
          <w:color w:val="C0392B"/>
          <w:sz w:val="36"/>
          <w:szCs w:val="36"/>
          <w:lang w:val="fr-FR"/>
        </w:rPr>
        <w:t>1.6×</w:t>
      </w:r>
      <w:r>
        <w:rPr>
          <w:rFonts w:ascii="Calibri" w:eastAsia="Calibri" w:hAnsi="Calibri" w:cs="Calibri"/>
          <w:color w:val="6B7B8D"/>
          <w:sz w:val="20"/>
          <w:szCs w:val="20"/>
          <w:lang w:val="fr-FR"/>
        </w:rPr>
        <w:t xml:space="preserve"> coût énergie EU/US     </w:t>
      </w:r>
      <w:r>
        <w:rPr>
          <w:rFonts w:ascii="Calibri" w:eastAsia="Calibri" w:hAnsi="Calibri" w:cs="Calibri"/>
          <w:b/>
          <w:bCs/>
          <w:color w:val="2E86C1"/>
          <w:sz w:val="36"/>
          <w:szCs w:val="36"/>
          <w:lang w:val="fr-FR"/>
        </w:rPr>
        <w:t>3.47:1 (mode Power)</w:t>
      </w:r>
      <w:r>
        <w:rPr>
          <w:rFonts w:ascii="Calibri" w:eastAsia="Calibri" w:hAnsi="Calibri" w:cs="Calibri"/>
          <w:color w:val="6B7B8D"/>
          <w:sz w:val="20"/>
          <w:szCs w:val="20"/>
          <w:lang w:val="fr-FR"/>
        </w:rPr>
        <w:t xml:space="preserve"> ratio CACI US/EU</w:t>
      </w:r>
    </w:p>
    <w:p w14:paraId="5E3D10D3" w14:textId="77777777" w:rsidR="00BD61C3" w:rsidRPr="00BD61C3" w:rsidRDefault="00BD61C3" w:rsidP="00BD61C3">
      <w:pPr>
        <w:shd w:val="clear" w:color="auto" w:fill="F0F3F6"/>
        <w:spacing w:after="120"/>
        <w:ind w:left="1440" w:right="1440"/>
        <w:jc w:val="both"/>
        <w:rPr>
          <w:lang w:val="fr-FR"/>
        </w:rPr>
      </w:pPr>
      <w:r>
        <w:rPr>
          <w:sz w:val="16"/>
          <w:szCs w:val="16"/>
          <w:lang w:val="fr-FR"/>
        </w:rPr>
        <w:t xml:space="preserve"> </w:t>
      </w:r>
    </w:p>
    <w:p w14:paraId="67BB6051" w14:textId="77777777" w:rsidR="00BD61C3" w:rsidRPr="00BD61C3" w:rsidRDefault="00BD61C3" w:rsidP="00BD61C3">
      <w:pPr>
        <w:spacing w:before="400"/>
        <w:rPr>
          <w:lang w:val="fr-FR"/>
        </w:rPr>
      </w:pPr>
    </w:p>
    <w:p w14:paraId="1A6AF253" w14:textId="77777777" w:rsidR="00BD61C3" w:rsidRPr="00BD61C3" w:rsidRDefault="00BD61C3" w:rsidP="00BD61C3">
      <w:pPr>
        <w:spacing w:before="200" w:after="80"/>
        <w:jc w:val="center"/>
        <w:rPr>
          <w:sz w:val="4"/>
          <w:szCs w:val="4"/>
          <w:lang w:val="fr-FR"/>
        </w:rPr>
      </w:pPr>
    </w:p>
    <w:p w14:paraId="13DF070A" w14:textId="77777777" w:rsidR="00BD61C3" w:rsidRPr="00BD61C3" w:rsidRDefault="00BD61C3" w:rsidP="00BD61C3">
      <w:pPr>
        <w:spacing w:before="200" w:after="80"/>
        <w:jc w:val="center"/>
        <w:rPr>
          <w:lang w:val="fr-FR"/>
        </w:rPr>
      </w:pPr>
      <w:r>
        <w:rPr>
          <w:sz w:val="4"/>
          <w:szCs w:val="4"/>
          <w:lang w:val="fr-FR"/>
        </w:rPr>
        <w:t>*</w:t>
      </w:r>
      <w:r>
        <w:rPr>
          <w:rFonts w:ascii="Calibri" w:eastAsia="Calibri" w:hAnsi="Calibri" w:cs="Calibri"/>
          <w:color w:val="6B7B8D"/>
          <w:sz w:val="22"/>
          <w:szCs w:val="22"/>
          <w:lang w:val="fr-FR"/>
        </w:rPr>
        <w:t>Paris — Février 2026</w:t>
      </w:r>
    </w:p>
    <w:p w14:paraId="6E1DB68A" w14:textId="77777777" w:rsidR="00BD61C3" w:rsidRPr="00BD61C3" w:rsidRDefault="00BD61C3" w:rsidP="00BD61C3">
      <w:pPr>
        <w:spacing w:before="80" w:after="80"/>
        <w:jc w:val="center"/>
        <w:rPr>
          <w:lang w:val="fr-FR"/>
        </w:rPr>
      </w:pPr>
      <w:r>
        <w:rPr>
          <w:rFonts w:ascii="Calibri" w:eastAsia="Calibri" w:hAnsi="Calibri" w:cs="Calibri"/>
          <w:i/>
          <w:iCs/>
          <w:color w:val="6B7B8D"/>
          <w:sz w:val="20"/>
          <w:szCs w:val="20"/>
          <w:lang w:val="fr-FR"/>
        </w:rPr>
        <w:t>7 chapitres  •  4 scénarios prospectifs  •  3 zones géographiques</w:t>
      </w:r>
    </w:p>
    <w:p w14:paraId="04F0B6E9" w14:textId="77777777" w:rsidR="00BD61C3" w:rsidRPr="00BD61C3" w:rsidRDefault="00BD61C3" w:rsidP="00BD61C3">
      <w:pPr>
        <w:spacing w:before="200"/>
        <w:rPr>
          <w:lang w:val="fr-FR"/>
        </w:rPr>
      </w:pPr>
    </w:p>
    <w:p w14:paraId="21A5B5FA" w14:textId="77777777" w:rsidR="00BD61C3" w:rsidRPr="00BD61C3" w:rsidRDefault="00BD61C3" w:rsidP="00BD61C3">
      <w:pPr>
        <w:spacing w:before="100" w:after="80"/>
        <w:ind w:left="1440" w:right="1440"/>
        <w:jc w:val="center"/>
        <w:rPr>
          <w:lang w:val="fr-FR"/>
        </w:rPr>
      </w:pPr>
      <w:r>
        <w:rPr>
          <w:rFonts w:ascii="Calibri" w:eastAsia="Calibri" w:hAnsi="Calibri" w:cs="Calibri"/>
          <w:b/>
          <w:bCs/>
          <w:color w:val="6B7B8D"/>
          <w:sz w:val="18"/>
          <w:szCs w:val="18"/>
          <w:lang w:val="fr-FR"/>
        </w:rPr>
        <w:t xml:space="preserve">Mots-clés : </w:t>
      </w:r>
      <w:r>
        <w:rPr>
          <w:rFonts w:ascii="Calibri" w:eastAsia="Calibri" w:hAnsi="Calibri" w:cs="Calibri"/>
          <w:i/>
          <w:iCs/>
          <w:color w:val="6B7B8D"/>
          <w:sz w:val="18"/>
          <w:szCs w:val="18"/>
          <w:lang w:val="fr-FR"/>
        </w:rPr>
        <w:t>intelligence artificielle, protectionnisme technologique, semi-conducteurs, export controls, compute souverain, géopolitique de l'IA, France, États-Unis, Chine</w:t>
      </w:r>
    </w:p>
    <w:p w14:paraId="6D430D89" w14:textId="77777777" w:rsidR="00BD61C3" w:rsidRPr="00BD61C3" w:rsidRDefault="00BD61C3" w:rsidP="00BD61C3">
      <w:pPr>
        <w:spacing w:before="400"/>
        <w:rPr>
          <w:lang w:val="fr-FR"/>
        </w:rPr>
      </w:pPr>
    </w:p>
    <w:p w14:paraId="406B392E" w14:textId="77777777" w:rsidR="00BD61C3" w:rsidRPr="00BD61C3" w:rsidRDefault="00BD61C3" w:rsidP="00BD61C3">
      <w:pPr>
        <w:shd w:val="clear" w:color="auto" w:fill="D4AC0D"/>
        <w:rPr>
          <w:lang w:val="fr-FR"/>
        </w:rPr>
        <w:sectPr w:rsidR="00BD61C3" w:rsidRPr="00BD61C3" w:rsidSect="00BD61C3">
          <w:pgSz w:w="11906" w:h="16838"/>
          <w:pgMar w:top="1134" w:right="1134" w:bottom="1134" w:left="1134" w:header="0" w:footer="0" w:gutter="0"/>
          <w:cols w:space="720"/>
          <w:formProt w:val="0"/>
        </w:sectPr>
      </w:pPr>
      <w:r>
        <w:rPr>
          <w:sz w:val="28"/>
          <w:szCs w:val="28"/>
          <w:lang w:val="fr-FR"/>
        </w:rPr>
        <w:t xml:space="preserve"> </w:t>
      </w:r>
    </w:p>
    <w:p w14:paraId="4A39252C" w14:textId="6C7D6FA7" w:rsidR="006B79E0" w:rsidRPr="00BD61C3" w:rsidRDefault="006B79E0">
      <w:pPr>
        <w:spacing w:after="500" w:line="276" w:lineRule="auto"/>
        <w:jc w:val="center"/>
        <w:rPr>
          <w:lang w:val="fr-FR"/>
        </w:rPr>
      </w:pPr>
    </w:p>
    <w:p w14:paraId="0D53F556" w14:textId="77777777" w:rsidR="006B79E0" w:rsidRPr="00BD61C3" w:rsidRDefault="00000000">
      <w:pPr>
        <w:pBdr>
          <w:top w:val="single" w:sz="2" w:space="8" w:color="1B4F72"/>
        </w:pBdr>
        <w:spacing w:before="200" w:after="100"/>
        <w:rPr>
          <w:lang w:val="fr-FR"/>
        </w:rPr>
      </w:pPr>
      <w:r>
        <w:rPr>
          <w:b/>
          <w:bCs/>
          <w:color w:val="1B4F72"/>
          <w:sz w:val="22"/>
          <w:szCs w:val="22"/>
          <w:lang w:val="fr-FR"/>
        </w:rPr>
        <w:t>À propos de ce document</w:t>
      </w:r>
    </w:p>
    <w:p w14:paraId="68F78A61" w14:textId="77777777" w:rsidR="006B79E0" w:rsidRPr="00BD61C3" w:rsidRDefault="00000000">
      <w:pPr>
        <w:spacing w:after="100" w:line="276" w:lineRule="auto"/>
        <w:jc w:val="both"/>
        <w:rPr>
          <w:lang w:val="fr-FR"/>
        </w:rPr>
      </w:pPr>
      <w:r>
        <w:rPr>
          <w:color w:val="1B1B1B"/>
          <w:lang w:val="fr-FR"/>
        </w:rPr>
        <w:t xml:space="preserve">Ce troisième volume répond à </w:t>
      </w:r>
      <w:r>
        <w:rPr>
          <w:b/>
          <w:bCs/>
          <w:color w:val="1B1B1B"/>
          <w:lang w:val="fr-FR"/>
        </w:rPr>
        <w:t>la question la plus fréquente</w:t>
      </w:r>
      <w:r>
        <w:rPr>
          <w:color w:val="1B1B1B"/>
          <w:lang w:val="fr-FR"/>
        </w:rPr>
        <w:t xml:space="preserve"> posée sur l’étude : « Pourquoi l’Europe a-t-elle 3,47 fois moins de compute effectif que les US alors qu’elle pourrait simplement investir davantage — ou utiliser le cloud américain ? » Ce document décompose la réponse en </w:t>
      </w:r>
      <w:r>
        <w:rPr>
          <w:b/>
          <w:bCs/>
          <w:color w:val="1B1B1B"/>
          <w:lang w:val="fr-FR"/>
        </w:rPr>
        <w:t>10 questions progressives</w:t>
      </w:r>
      <w:r>
        <w:rPr>
          <w:color w:val="1B1B1B"/>
          <w:lang w:val="fr-FR"/>
        </w:rPr>
        <w:t xml:space="preserve"> allant du plus intuitif au plus stratégique. Il est conçu pour être lu indépendamment des Volumes 1 et 2.</w:t>
      </w:r>
    </w:p>
    <w:p w14:paraId="7B849688" w14:textId="77777777" w:rsidR="006B79E0" w:rsidRPr="00BD61C3" w:rsidRDefault="00000000">
      <w:pPr>
        <w:pBdr>
          <w:bottom w:val="single" w:sz="2" w:space="8" w:color="1B4F72"/>
        </w:pBdr>
        <w:spacing w:after="200"/>
        <w:rPr>
          <w:lang w:val="fr-FR"/>
        </w:rPr>
      </w:pPr>
      <w:r>
        <w:rPr>
          <w:b/>
          <w:bCs/>
          <w:color w:val="666666"/>
          <w:sz w:val="20"/>
          <w:szCs w:val="20"/>
          <w:lang w:val="fr-FR"/>
        </w:rPr>
        <w:t xml:space="preserve">Repository : </w:t>
      </w:r>
      <w:r>
        <w:rPr>
          <w:color w:val="2E86C1"/>
          <w:sz w:val="20"/>
          <w:szCs w:val="20"/>
          <w:lang w:val="fr-FR"/>
        </w:rPr>
        <w:t>https://mo0ogly.github.io/America-First-IA/</w:t>
      </w:r>
    </w:p>
    <w:p w14:paraId="288FE3CE" w14:textId="77777777" w:rsidR="006B79E0" w:rsidRPr="00BD61C3" w:rsidRDefault="00000000">
      <w:pPr>
        <w:rPr>
          <w:lang w:val="fr-FR"/>
        </w:rPr>
      </w:pPr>
      <w:r>
        <w:rPr>
          <w:lang w:val="fr-FR"/>
        </w:rPr>
        <w:br w:type="page"/>
      </w:r>
    </w:p>
    <w:p w14:paraId="33232E2D" w14:textId="77777777" w:rsidR="006B79E0" w:rsidRPr="00BD61C3" w:rsidRDefault="00000000">
      <w:pPr>
        <w:pStyle w:val="Titre1"/>
        <w:pBdr>
          <w:bottom w:val="single" w:sz="2" w:space="6" w:color="1B4F72"/>
        </w:pBdr>
        <w:spacing w:before="0"/>
        <w:rPr>
          <w:lang w:val="fr-FR"/>
        </w:rPr>
      </w:pPr>
      <w:r>
        <w:rPr>
          <w:lang w:val="fr-FR"/>
        </w:rPr>
        <w:lastRenderedPageBreak/>
        <w:t>PARTIE A — Comprendre le ratio : pourquoi 3.47:1 et pas 1,5:1 ?</w:t>
      </w:r>
    </w:p>
    <w:p w14:paraId="67AF541B" w14:textId="77777777" w:rsidR="006B79E0" w:rsidRPr="00BD61C3" w:rsidRDefault="00000000">
      <w:pPr>
        <w:shd w:val="clear" w:color="auto" w:fill="EBF5FB"/>
        <w:spacing w:before="400" w:after="140"/>
        <w:rPr>
          <w:lang w:val="fr-FR"/>
        </w:rPr>
      </w:pPr>
      <w:r>
        <w:rPr>
          <w:b/>
          <w:bCs/>
          <w:color w:val="C0392B"/>
          <w:lang w:val="fr-FR"/>
        </w:rPr>
        <w:t xml:space="preserve">Q1. </w:t>
      </w:r>
      <w:r>
        <w:rPr>
          <w:b/>
          <w:bCs/>
          <w:color w:val="1B4F72"/>
          <w:lang w:val="fr-FR"/>
        </w:rPr>
        <w:t>Le ratio CACI US/EU est de 3.47:1. Mais les US sont plus riches que l’Europe. N’est-ce pas normal ? « Tu payes, tu as » ?</w:t>
      </w:r>
      <w:r>
        <w:rPr>
          <w:i/>
          <w:iCs/>
          <w:color w:val="666666"/>
          <w:sz w:val="20"/>
          <w:szCs w:val="20"/>
          <w:lang w:val="fr-FR"/>
        </w:rPr>
        <w:t xml:space="preserve">  [Grand public / Décideur]</w:t>
      </w:r>
    </w:p>
    <w:p w14:paraId="4C3A6EE4" w14:textId="77777777" w:rsidR="006B79E0" w:rsidRPr="00BD61C3" w:rsidRDefault="00000000">
      <w:pPr>
        <w:spacing w:after="180" w:line="276" w:lineRule="auto"/>
        <w:ind w:left="240"/>
        <w:jc w:val="both"/>
        <w:rPr>
          <w:lang w:val="fr-FR"/>
        </w:rPr>
      </w:pPr>
      <w:r>
        <w:rPr>
          <w:color w:val="333333"/>
          <w:sz w:val="23"/>
          <w:szCs w:val="23"/>
          <w:lang w:val="fr-FR"/>
        </w:rPr>
        <w:t>C’est l’objection la plus naturelle — et la plus répandue. Mais elle repose sur une confusion entre le compute brut et le CACI.</w:t>
      </w:r>
    </w:p>
    <w:p w14:paraId="78BD0DEC" w14:textId="77777777" w:rsidR="006B79E0" w:rsidRPr="00BD61C3" w:rsidRDefault="00000000">
      <w:pPr>
        <w:spacing w:after="180" w:line="276" w:lineRule="auto"/>
        <w:ind w:left="240"/>
        <w:jc w:val="both"/>
        <w:rPr>
          <w:lang w:val="fr-FR"/>
        </w:rPr>
      </w:pPr>
      <w:r>
        <w:rPr>
          <w:b/>
          <w:bCs/>
          <w:color w:val="333333"/>
          <w:sz w:val="23"/>
          <w:szCs w:val="23"/>
          <w:lang w:val="fr-FR"/>
        </w:rPr>
        <w:t>Le CACI est normalisé par le PIB.</w:t>
      </w:r>
      <w:r>
        <w:rPr>
          <w:color w:val="333333"/>
          <w:sz w:val="23"/>
          <w:szCs w:val="23"/>
          <w:lang w:val="fr-FR"/>
        </w:rPr>
        <w:t xml:space="preserve"> C’est toute la subtilité de l’indice. </w:t>
      </w:r>
      <w:r>
        <w:rPr>
          <w:color w:val="333333"/>
          <w:sz w:val="23"/>
          <w:szCs w:val="23"/>
          <w:lang w:val="pt-BR"/>
        </w:rPr>
        <w:t xml:space="preserve">La formule est : CACI(r) = F(r)⁰⋅⁴⁰ × L(r)⁰⋅²⁰ × R(r)⁰⋅¹⁵ / E(r)⁰⋅²⁵ (mode Power), ou / (E(r)⁰⋅²⁵ × GDP) (mode Intensity).</w:t>
      </w:r>
      <w:r>
        <w:rPr>
          <w:color w:val="333333"/>
          <w:sz w:val="23"/>
          <w:szCs w:val="23"/>
          <w:lang w:val="fr-FR"/>
        </w:rPr>
        <w:t>Le ratio 3.47:1 ne dit pas « les US ont 3,47× plus de compute en absolu ». Ça, c’est le ratio brut, qui est plutôt ~17,6:1 (Epoch AI). Le CACI dit quelque chose de beaucoup plus grave :</w:t>
      </w:r>
    </w:p>
    <w:p w14:paraId="07CC028F" w14:textId="77777777" w:rsidR="006B79E0" w:rsidRPr="00BD61C3" w:rsidRDefault="00000000">
      <w:pPr>
        <w:pBdr>
          <w:left w:val="single" w:sz="6" w:space="8" w:color="D4AC0D"/>
        </w:pBdr>
        <w:shd w:val="clear" w:color="auto" w:fill="FEF9E7"/>
        <w:spacing w:before="100" w:after="200" w:line="276" w:lineRule="auto"/>
        <w:ind w:left="360" w:right="360"/>
        <w:jc w:val="both"/>
        <w:rPr>
          <w:lang w:val="fr-FR"/>
        </w:rPr>
      </w:pPr>
      <w:r>
        <w:rPr>
          <w:b/>
          <w:bCs/>
          <w:color w:val="1B4F72"/>
          <w:sz w:val="22"/>
          <w:szCs w:val="22"/>
          <w:lang w:val="fr-FR"/>
        </w:rPr>
        <w:t>« À taille économique comparable et à capital humain comparable, les acteurs américains disposent de 3,47 fois plus de compute effectif que les européens. »</w:t>
      </w:r>
    </w:p>
    <w:p w14:paraId="388AEA1D" w14:textId="77777777" w:rsidR="006B79E0" w:rsidRPr="00BD61C3" w:rsidRDefault="00000000">
      <w:pPr>
        <w:spacing w:after="180" w:line="276" w:lineRule="auto"/>
        <w:ind w:left="240"/>
        <w:jc w:val="both"/>
        <w:rPr>
          <w:lang w:val="fr-FR"/>
        </w:rPr>
      </w:pPr>
      <w:r>
        <w:rPr>
          <w:color w:val="333333"/>
          <w:sz w:val="23"/>
          <w:szCs w:val="23"/>
          <w:lang w:val="fr-FR"/>
        </w:rPr>
        <w:t>Faisons le calcul simple. Le PIB US est d’environ 28 000 Md$, le PIB EU d’environ 18 000 Md$. Le PIB américain est donc ~1,5× plus grand que l’européen. Si c’était juste une question d’investissement proportionnel au PIB (« tu payes, tu as »), le ratio de compute devrait être de 1,5:1.</w:t>
      </w:r>
    </w:p>
    <w:p w14:paraId="44441CEC" w14:textId="77777777" w:rsidR="006B79E0" w:rsidRPr="00BD61C3" w:rsidRDefault="00000000">
      <w:pPr>
        <w:spacing w:after="180" w:line="276" w:lineRule="auto"/>
        <w:ind w:left="240"/>
        <w:jc w:val="both"/>
        <w:rPr>
          <w:lang w:val="fr-FR"/>
        </w:rPr>
      </w:pPr>
      <w:r>
        <w:rPr>
          <w:b/>
          <w:bCs/>
          <w:color w:val="333333"/>
          <w:sz w:val="23"/>
          <w:szCs w:val="23"/>
          <w:lang w:val="fr-FR"/>
        </w:rPr>
        <w:t>Or il est de 3.47:1. La question est : d’où viennent les ∼2× restants ?</w:t>
      </w:r>
      <w:r>
        <w:rPr>
          <w:color w:val="333333"/>
          <w:sz w:val="23"/>
          <w:szCs w:val="23"/>
          <w:lang w:val="fr-FR"/>
        </w:rPr>
        <w:t xml:space="preserve"> C’est la contribution centrale de l’étude : ces 5-10× viennent de facteurs structurels que l’investissement seul ne peut pas compenser.</w:t>
      </w:r>
    </w:p>
    <w:p w14:paraId="04166108" w14:textId="77777777" w:rsidR="006B79E0" w:rsidRPr="00BD61C3" w:rsidRDefault="00000000">
      <w:pPr>
        <w:shd w:val="clear" w:color="auto" w:fill="EBF5FB"/>
        <w:spacing w:before="400" w:after="140"/>
        <w:rPr>
          <w:lang w:val="fr-FR"/>
        </w:rPr>
      </w:pPr>
      <w:r>
        <w:rPr>
          <w:b/>
          <w:bCs/>
          <w:color w:val="C0392B"/>
          <w:lang w:val="fr-FR"/>
        </w:rPr>
        <w:t xml:space="preserve">Q2. </w:t>
      </w:r>
      <w:r>
        <w:rPr>
          <w:b/>
          <w:bCs/>
          <w:color w:val="1B4F72"/>
          <w:lang w:val="fr-FR"/>
        </w:rPr>
        <w:t>D’accord. Alors d’où viennent ces 5-10× supplémentaires ?</w:t>
      </w:r>
      <w:r>
        <w:rPr>
          <w:i/>
          <w:iCs/>
          <w:color w:val="666666"/>
          <w:sz w:val="20"/>
          <w:szCs w:val="20"/>
          <w:lang w:val="fr-FR"/>
        </w:rPr>
        <w:t xml:space="preserve">  [Grand public / Décideur]</w:t>
      </w:r>
    </w:p>
    <w:p w14:paraId="69951478" w14:textId="77777777" w:rsidR="006B79E0" w:rsidRPr="00BD61C3" w:rsidRDefault="00000000">
      <w:pPr>
        <w:spacing w:after="180" w:line="276" w:lineRule="auto"/>
        <w:ind w:left="240"/>
        <w:jc w:val="both"/>
        <w:rPr>
          <w:lang w:val="fr-FR"/>
        </w:rPr>
      </w:pPr>
      <w:r>
        <w:rPr>
          <w:color w:val="333333"/>
          <w:sz w:val="23"/>
          <w:szCs w:val="23"/>
          <w:lang w:val="fr-FR"/>
        </w:rPr>
        <w:t>Trois facteurs structurels expliquent l’écart entre le ratio « attendu » (1,5:1) et le ratio « observé » (3.47:1). Aucun des trois ne se résout en « dépensant plus ».</w:t>
      </w:r>
    </w:p>
    <w:p w14:paraId="173F3203" w14:textId="77777777" w:rsidR="006B79E0" w:rsidRPr="00BD61C3" w:rsidRDefault="00000000">
      <w:pPr>
        <w:pStyle w:val="Titre2"/>
        <w:spacing w:after="180"/>
        <w:rPr>
          <w:lang w:val="fr-FR"/>
        </w:rPr>
      </w:pPr>
      <w:r>
        <w:rPr>
          <w:lang w:val="fr-FR"/>
        </w:rPr>
        <w:t>Facteur 1 : le coût de l’énergie (×2-3 en défaveur EU)</w:t>
      </w:r>
    </w:p>
    <w:p w14:paraId="6E6E5E93" w14:textId="77777777" w:rsidR="006B79E0" w:rsidRPr="00BD61C3" w:rsidRDefault="00000000">
      <w:pPr>
        <w:spacing w:after="180" w:line="276" w:lineRule="auto"/>
        <w:ind w:left="240"/>
        <w:jc w:val="both"/>
        <w:rPr>
          <w:lang w:val="fr-FR"/>
        </w:rPr>
      </w:pPr>
      <w:r>
        <w:rPr>
          <w:color w:val="333333"/>
          <w:sz w:val="23"/>
          <w:szCs w:val="23"/>
          <w:lang w:val="fr-FR"/>
        </w:rPr>
        <w:t>Un FLOP de calcul IA en Europe coûte 2 à 3 fois plus cher qu’aux États-Unis. L’électricité industrielle coûte $110-145/MWh en Europe contre $50-65/MWh aux US. Concrètement : même si l’Europe investissait la même somme, elle obtiendrait 2 à 3 fois moins de compute utile. Un data center de 500 MW en Europe coûte ~60 % de plus en électricité qu’un data center identique au Texas ou en Virginie.</w:t>
      </w:r>
    </w:p>
    <w:p w14:paraId="1B2F242B" w14:textId="77777777" w:rsidR="006B79E0" w:rsidRPr="00BD61C3" w:rsidRDefault="00000000">
      <w:pPr>
        <w:spacing w:after="180" w:line="276" w:lineRule="auto"/>
        <w:ind w:left="240"/>
        <w:jc w:val="both"/>
        <w:rPr>
          <w:lang w:val="fr-FR"/>
        </w:rPr>
      </w:pPr>
      <w:r>
        <w:rPr>
          <w:color w:val="333333"/>
          <w:sz w:val="23"/>
          <w:szCs w:val="23"/>
          <w:lang w:val="fr-FR"/>
        </w:rPr>
        <w:t>Ce n’est pas un choix d’investissement — c’est une contrainte structurelle liée au mix énergétique, à la fiscalité carbone, et à la régulation des marchés de l’électricité en Europe. C’est exactement pour ça que la recommandation n°1 est l’énergie dérogée dans les Special Compute Zones ($50-60/MWh via PPA nucléaires).</w:t>
      </w:r>
    </w:p>
    <w:p w14:paraId="7A8B3559" w14:textId="77777777" w:rsidR="006B79E0" w:rsidRPr="00BD61C3" w:rsidRDefault="00000000">
      <w:pPr>
        <w:pStyle w:val="Titre2"/>
        <w:spacing w:after="180"/>
        <w:rPr>
          <w:lang w:val="fr-FR"/>
        </w:rPr>
      </w:pPr>
      <w:r>
        <w:rPr>
          <w:lang w:val="fr-FR"/>
        </w:rPr>
        <w:t>Facteur 2 : les export controls + Section 232 (priorité de livraison)</w:t>
      </w:r>
    </w:p>
    <w:p w14:paraId="498A8C38" w14:textId="77777777" w:rsidR="006B79E0" w:rsidRPr="00BD61C3" w:rsidRDefault="00000000">
      <w:pPr>
        <w:spacing w:after="180" w:line="276" w:lineRule="auto"/>
        <w:ind w:left="240"/>
        <w:jc w:val="both"/>
        <w:rPr>
          <w:lang w:val="fr-FR"/>
        </w:rPr>
      </w:pPr>
      <w:r>
        <w:rPr>
          <w:color w:val="333333"/>
          <w:sz w:val="23"/>
          <w:szCs w:val="23"/>
          <w:lang w:val="fr-FR"/>
        </w:rPr>
        <w:t xml:space="preserve">Même avec le budget, vous ne pouvez pas acheter ce qui n’est pas livré. Nvidia produit un nombre fini de GPU H100/H200/B200 par trimestre. Les exemptions domestiques US signifient que les hyperscalers américains (Microsoft, Google, Amazon, Meta, xAI) sont </w:t>
        <w:lastRenderedPageBreak/>
        <w:t>livrés en priorité. En période de pénurie structurelle — ce qui est le cas depuis 2023 — les commandes européennes passent après, avec des délais de 3 à 6 mois.</w:t>
      </w:r>
    </w:p>
    <w:p w14:paraId="633227F8" w14:textId="77777777" w:rsidR="006B79E0" w:rsidRPr="00BD61C3" w:rsidRDefault="00000000">
      <w:pPr>
        <w:spacing w:after="180" w:line="276" w:lineRule="auto"/>
        <w:ind w:left="240"/>
        <w:jc w:val="both"/>
        <w:rPr>
          <w:lang w:val="fr-FR"/>
        </w:rPr>
      </w:pPr>
      <w:r>
        <w:rPr>
          <w:color w:val="333333"/>
          <w:sz w:val="23"/>
          <w:szCs w:val="23"/>
          <w:lang w:val="fr-FR"/>
        </w:rPr>
        <w:t xml:space="preserve">De plus, la Section 232 (janvier 2026) impose 25 % de tarifs sur les semi-conducteurs IA avancés importés. </w:t>
      </w:r>
      <w:r>
        <w:rPr>
          <w:b/>
          <w:bCs/>
          <w:color w:val="333333"/>
          <w:sz w:val="23"/>
          <w:szCs w:val="23"/>
          <w:lang w:val="fr-FR"/>
        </w:rPr>
        <w:t>Même si les entreprises européennes achetant pour usage domestique ne paient pas directement ce tarif, l’effet d’annonce crée une incertitude réglementaire</w:t>
      </w:r>
      <w:r>
        <w:rPr>
          <w:color w:val="333333"/>
          <w:sz w:val="23"/>
          <w:szCs w:val="23"/>
          <w:lang w:val="fr-FR"/>
        </w:rPr>
        <w:t xml:space="preserve"> : la Proclamation prévoit explicitement un élargissement possible d’ici juillet 2026. Quel investisseur va engager 2 Md€ sur un data center européen si les GPU risquent de coûter 25 % de plus dans 6 mois ?</w:t>
      </w:r>
    </w:p>
    <w:p w14:paraId="163436F4" w14:textId="77777777" w:rsidR="006B79E0" w:rsidRPr="00BD61C3" w:rsidRDefault="00000000">
      <w:pPr>
        <w:pStyle w:val="Titre2"/>
        <w:spacing w:after="180"/>
        <w:rPr>
          <w:lang w:val="fr-FR"/>
        </w:rPr>
      </w:pPr>
      <w:r>
        <w:rPr>
          <w:lang w:val="fr-FR"/>
        </w:rPr>
        <w:t>Facteur 3 : l’effet de gravité capitalistique (fuite des investissements)</w:t>
      </w:r>
    </w:p>
    <w:p w14:paraId="6C2CEAA8" w14:textId="77777777" w:rsidR="006B79E0" w:rsidRPr="00BD61C3" w:rsidRDefault="00000000">
      <w:pPr>
        <w:spacing w:after="180" w:line="276" w:lineRule="auto"/>
        <w:ind w:left="240"/>
        <w:jc w:val="both"/>
        <w:rPr>
          <w:lang w:val="fr-FR"/>
        </w:rPr>
      </w:pPr>
      <w:r>
        <w:rPr>
          <w:color w:val="333333"/>
          <w:sz w:val="23"/>
          <w:szCs w:val="23"/>
          <w:lang w:val="fr-FR"/>
        </w:rPr>
        <w:t>C’est le facteur le plus pernicieux. Les investisseurs rationnels — y compris européens et alliés — investissent aux US plutôt qu’en EU, parce que le retour sur investissement y est meilleur : énergie moins chère, compute plus dense, marché plus grand, écosystème de talent plus concentré.</w:t>
      </w:r>
    </w:p>
    <w:p w14:paraId="12331BD5" w14:textId="77777777" w:rsidR="006B79E0" w:rsidRPr="00BD61C3" w:rsidRDefault="00000000">
      <w:pPr>
        <w:spacing w:after="180" w:line="276" w:lineRule="auto"/>
        <w:ind w:left="240"/>
        <w:jc w:val="both"/>
        <w:rPr>
          <w:lang w:val="fr-FR"/>
        </w:rPr>
      </w:pPr>
      <w:r>
        <w:rPr>
          <w:b/>
          <w:bCs/>
          <w:color w:val="333333"/>
          <w:sz w:val="23"/>
          <w:szCs w:val="23"/>
          <w:lang w:val="fr-FR"/>
        </w:rPr>
        <w:t>Le Japon a investi $550 milliards sur le sol américain</w:t>
      </w:r>
      <w:r>
        <w:rPr>
          <w:color w:val="333333"/>
          <w:sz w:val="23"/>
          <w:szCs w:val="23"/>
          <w:lang w:val="fr-FR"/>
        </w:rPr>
        <w:t xml:space="preserve"> — c’est de l’argent qui aurait pu construire du compute japonais (ou européen via des partenariats). Les Émirats convergent vers les US. Même les entreprises européennes (</w:t>
      </w:r>
      <w:r>
        <w:rPr>
          <w:b/>
          <w:bCs/>
          <w:color w:val="333333"/>
          <w:sz w:val="23"/>
          <w:szCs w:val="23"/>
          <w:lang w:val="fr-FR"/>
        </w:rPr>
        <w:t>72-80 % des workloads IA EU sur infra US</w:t>
      </w:r>
      <w:r>
        <w:rPr>
          <w:color w:val="333333"/>
          <w:sz w:val="23"/>
          <w:szCs w:val="23"/>
          <w:lang w:val="fr-FR"/>
        </w:rPr>
        <w:t>) votent avec leurs pieds.</w:t>
      </w:r>
    </w:p>
    <w:p w14:paraId="4DBF63F7" w14:textId="77777777" w:rsidR="006B79E0" w:rsidRPr="00BD61C3" w:rsidRDefault="00000000">
      <w:pPr>
        <w:spacing w:after="180" w:line="276" w:lineRule="auto"/>
        <w:ind w:left="240"/>
        <w:jc w:val="both"/>
        <w:rPr>
          <w:lang w:val="fr-FR"/>
        </w:rPr>
      </w:pPr>
      <w:r>
        <w:rPr>
          <w:color w:val="333333"/>
          <w:sz w:val="23"/>
          <w:szCs w:val="23"/>
          <w:lang w:val="fr-FR"/>
        </w:rPr>
        <w:t>C’est le paradoxe du prisonnier : individuellement, chaque acteur optimise en investissant aux US. Collectivement, le résultat est une perte de souveraineté technologique pour tous les alliés.</w:t>
      </w:r>
    </w:p>
    <w:p w14:paraId="426ACD4D" w14:textId="77777777" w:rsidR="006B79E0" w:rsidRPr="00BD61C3" w:rsidRDefault="00000000">
      <w:pPr>
        <w:shd w:val="clear" w:color="auto" w:fill="EBF5FB"/>
        <w:spacing w:before="400" w:after="140"/>
        <w:rPr>
          <w:lang w:val="fr-FR"/>
        </w:rPr>
      </w:pPr>
      <w:r>
        <w:rPr>
          <w:b/>
          <w:bCs/>
          <w:color w:val="C0392B"/>
          <w:lang w:val="fr-FR"/>
        </w:rPr>
        <w:t xml:space="preserve">Q3. </w:t>
      </w:r>
      <w:r>
        <w:rPr>
          <w:b/>
          <w:bCs/>
          <w:color w:val="1B4F72"/>
          <w:lang w:val="fr-FR"/>
        </w:rPr>
        <w:t>En résumé, pourquoi « simplement investir plus » ne suffit pas ?</w:t>
      </w:r>
      <w:r>
        <w:rPr>
          <w:i/>
          <w:iCs/>
          <w:color w:val="666666"/>
          <w:sz w:val="20"/>
          <w:szCs w:val="20"/>
          <w:lang w:val="fr-FR"/>
        </w:rPr>
        <w:t xml:space="preserve">  [Grand public]</w:t>
      </w:r>
    </w:p>
    <w:p w14:paraId="1652E342" w14:textId="77777777" w:rsidR="006B79E0" w:rsidRDefault="00000000">
      <w:pPr>
        <w:spacing w:after="180" w:line="276" w:lineRule="auto"/>
        <w:ind w:left="240"/>
        <w:jc w:val="both"/>
      </w:pPr>
      <w:r>
        <w:rPr>
          <w:color w:val="333333"/>
          <w:sz w:val="23"/>
          <w:szCs w:val="23"/>
          <w:lang w:val="fr-FR"/>
        </w:rPr>
        <w:t xml:space="preserve">Parce que le problème n’est pas un problème de volume d’investissement. </w:t>
      </w:r>
      <w:r>
        <w:rPr>
          <w:color w:val="333333"/>
          <w:sz w:val="23"/>
          <w:szCs w:val="23"/>
        </w:rPr>
        <w:t>C’est un problème de structure. Voici la décomposition :</w:t>
      </w:r>
    </w:p>
    <w:p w14:paraId="04E51E1E" w14:textId="77777777" w:rsidR="006B79E0" w:rsidRDefault="00000000">
      <w:pPr>
        <w:spacing w:after="60" w:line="276" w:lineRule="auto"/>
        <w:jc w:val="both"/>
      </w:pPr>
      <w:r>
        <w:rPr>
          <w:color w:val="1B1B1B"/>
          <w:sz w:val="6"/>
          <w:szCs w:val="6"/>
        </w:rPr>
        <w:t xml:space="preserve"> </w:t>
      </w:r>
    </w:p>
    <w:tbl>
      <w:tblPr>
        <w:tblW w:w="9200" w:type="dxa"/>
        <w:tblLayout w:type="fixed"/>
        <w:tblCellMar>
          <w:top w:w="60" w:type="dxa"/>
          <w:left w:w="100" w:type="dxa"/>
          <w:bottom w:w="60" w:type="dxa"/>
          <w:right w:w="100" w:type="dxa"/>
        </w:tblCellMar>
        <w:tblLook w:val="04A0" w:firstRow="1" w:lastRow="0" w:firstColumn="1" w:lastColumn="0" w:noHBand="0" w:noVBand="1"/>
      </w:tblPr>
      <w:tblGrid>
        <w:gridCol w:w="2000"/>
        <w:gridCol w:w="1199"/>
        <w:gridCol w:w="3501"/>
        <w:gridCol w:w="2500"/>
      </w:tblGrid>
      <w:tr w:rsidR="006B79E0" w14:paraId="7E5C25D7" w14:textId="77777777">
        <w:tc>
          <w:tcPr>
            <w:tcW w:w="2000" w:type="dxa"/>
            <w:tcBorders>
              <w:top w:val="single" w:sz="2" w:space="0" w:color="CCCCCC"/>
              <w:left w:val="single" w:sz="2" w:space="0" w:color="CCCCCC"/>
              <w:bottom w:val="single" w:sz="2" w:space="0" w:color="CCCCCC"/>
              <w:right w:val="single" w:sz="2" w:space="0" w:color="CCCCCC"/>
            </w:tcBorders>
            <w:shd w:val="clear" w:color="auto" w:fill="1B4F72"/>
          </w:tcPr>
          <w:p w14:paraId="64C10EC8" w14:textId="77777777" w:rsidR="006B79E0" w:rsidRDefault="00000000">
            <w:r>
              <w:rPr>
                <w:b/>
                <w:bCs/>
                <w:color w:val="FFFFFF"/>
                <w:sz w:val="20"/>
                <w:szCs w:val="20"/>
              </w:rPr>
              <w:t>Composante</w:t>
            </w:r>
          </w:p>
        </w:tc>
        <w:tc>
          <w:tcPr>
            <w:tcW w:w="1199" w:type="dxa"/>
            <w:tcBorders>
              <w:top w:val="single" w:sz="2" w:space="0" w:color="CCCCCC"/>
              <w:left w:val="single" w:sz="2" w:space="0" w:color="CCCCCC"/>
              <w:bottom w:val="single" w:sz="2" w:space="0" w:color="CCCCCC"/>
              <w:right w:val="single" w:sz="2" w:space="0" w:color="CCCCCC"/>
            </w:tcBorders>
            <w:shd w:val="clear" w:color="auto" w:fill="1B4F72"/>
          </w:tcPr>
          <w:p w14:paraId="5D60FD19" w14:textId="77777777" w:rsidR="006B79E0" w:rsidRDefault="00000000">
            <w:r>
              <w:rPr>
                <w:b/>
                <w:bCs/>
                <w:color w:val="FFFFFF"/>
                <w:sz w:val="20"/>
                <w:szCs w:val="20"/>
              </w:rPr>
              <w:t>Ratio</w:t>
            </w:r>
          </w:p>
        </w:tc>
        <w:tc>
          <w:tcPr>
            <w:tcW w:w="3501" w:type="dxa"/>
            <w:tcBorders>
              <w:top w:val="single" w:sz="2" w:space="0" w:color="CCCCCC"/>
              <w:left w:val="single" w:sz="2" w:space="0" w:color="CCCCCC"/>
              <w:bottom w:val="single" w:sz="2" w:space="0" w:color="CCCCCC"/>
              <w:right w:val="single" w:sz="2" w:space="0" w:color="CCCCCC"/>
            </w:tcBorders>
            <w:shd w:val="clear" w:color="auto" w:fill="1B4F72"/>
          </w:tcPr>
          <w:p w14:paraId="6CDA9E3E" w14:textId="77777777" w:rsidR="006B79E0" w:rsidRDefault="00000000">
            <w:r>
              <w:rPr>
                <w:b/>
                <w:bCs/>
                <w:color w:val="FFFFFF"/>
                <w:sz w:val="20"/>
                <w:szCs w:val="20"/>
              </w:rPr>
              <w:t>Cause</w:t>
            </w:r>
          </w:p>
        </w:tc>
        <w:tc>
          <w:tcPr>
            <w:tcW w:w="2500" w:type="dxa"/>
            <w:tcBorders>
              <w:top w:val="single" w:sz="2" w:space="0" w:color="CCCCCC"/>
              <w:left w:val="single" w:sz="2" w:space="0" w:color="CCCCCC"/>
              <w:bottom w:val="single" w:sz="2" w:space="0" w:color="CCCCCC"/>
              <w:right w:val="single" w:sz="2" w:space="0" w:color="CCCCCC"/>
            </w:tcBorders>
            <w:shd w:val="clear" w:color="auto" w:fill="1B4F72"/>
          </w:tcPr>
          <w:p w14:paraId="19F59B86" w14:textId="77777777" w:rsidR="006B79E0" w:rsidRDefault="00000000">
            <w:r>
              <w:rPr>
                <w:b/>
                <w:bCs/>
                <w:color w:val="FFFFFF"/>
                <w:sz w:val="20"/>
                <w:szCs w:val="20"/>
              </w:rPr>
              <w:t>Investissement seul suffit ?</w:t>
            </w:r>
          </w:p>
        </w:tc>
      </w:tr>
      <w:tr w:rsidR="006B79E0" w14:paraId="53B29F1A"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50" w:type="dxa"/>
              <w:bottom w:w="50" w:type="dxa"/>
            </w:tcMar>
          </w:tcPr>
          <w:p w14:paraId="302491DB" w14:textId="77777777" w:rsidR="006B79E0" w:rsidRDefault="00000000">
            <w:r>
              <w:rPr>
                <w:color w:val="1B1B1B"/>
                <w:sz w:val="20"/>
                <w:szCs w:val="20"/>
              </w:rPr>
              <w:t>PIB relatif</w:t>
            </w:r>
          </w:p>
        </w:tc>
        <w:tc>
          <w:tcPr>
            <w:tcW w:w="1199" w:type="dxa"/>
            <w:tcBorders>
              <w:top w:val="single" w:sz="2" w:space="0" w:color="CCCCCC"/>
              <w:left w:val="single" w:sz="2" w:space="0" w:color="CCCCCC"/>
              <w:bottom w:val="single" w:sz="2" w:space="0" w:color="CCCCCC"/>
              <w:right w:val="single" w:sz="2" w:space="0" w:color="CCCCCC"/>
            </w:tcBorders>
            <w:shd w:val="clear" w:color="auto" w:fill="FFFFFF"/>
            <w:tcMar>
              <w:top w:w="50" w:type="dxa"/>
              <w:bottom w:w="50" w:type="dxa"/>
            </w:tcMar>
          </w:tcPr>
          <w:p w14:paraId="05FC5601" w14:textId="77777777" w:rsidR="006B79E0" w:rsidRDefault="00000000">
            <w:r>
              <w:rPr>
                <w:color w:val="1B1B1B"/>
                <w:sz w:val="20"/>
                <w:szCs w:val="20"/>
              </w:rPr>
              <w:t>1,5:1</w:t>
            </w:r>
          </w:p>
        </w:tc>
        <w:tc>
          <w:tcPr>
            <w:tcW w:w="3501" w:type="dxa"/>
            <w:tcBorders>
              <w:top w:val="single" w:sz="2" w:space="0" w:color="CCCCCC"/>
              <w:left w:val="single" w:sz="2" w:space="0" w:color="CCCCCC"/>
              <w:bottom w:val="single" w:sz="2" w:space="0" w:color="CCCCCC"/>
              <w:right w:val="single" w:sz="2" w:space="0" w:color="CCCCCC"/>
            </w:tcBorders>
            <w:shd w:val="clear" w:color="auto" w:fill="FFFFFF"/>
            <w:tcMar>
              <w:top w:w="50" w:type="dxa"/>
              <w:bottom w:w="50" w:type="dxa"/>
            </w:tcMar>
          </w:tcPr>
          <w:p w14:paraId="3C7C16DE" w14:textId="77777777" w:rsidR="006B79E0" w:rsidRDefault="00000000">
            <w:r>
              <w:rPr>
                <w:color w:val="1B1B1B"/>
                <w:sz w:val="20"/>
                <w:szCs w:val="20"/>
              </w:rPr>
              <w:t>US plus gros que EU</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50" w:type="dxa"/>
              <w:bottom w:w="50" w:type="dxa"/>
            </w:tcMar>
          </w:tcPr>
          <w:p w14:paraId="7F860674" w14:textId="77777777" w:rsidR="006B79E0" w:rsidRDefault="00000000">
            <w:r>
              <w:rPr>
                <w:color w:val="1B1B1B"/>
                <w:sz w:val="20"/>
                <w:szCs w:val="20"/>
              </w:rPr>
              <w:t>Oui, proportionnel</w:t>
            </w:r>
          </w:p>
        </w:tc>
      </w:tr>
      <w:tr w:rsidR="006B79E0" w14:paraId="262DB30B"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50" w:type="dxa"/>
              <w:bottom w:w="50" w:type="dxa"/>
            </w:tcMar>
          </w:tcPr>
          <w:p w14:paraId="068E982B" w14:textId="77777777" w:rsidR="006B79E0" w:rsidRDefault="00000000">
            <w:r>
              <w:rPr>
                <w:color w:val="1B1B1B"/>
                <w:sz w:val="20"/>
                <w:szCs w:val="20"/>
              </w:rPr>
              <w:t>Énergie</w:t>
            </w:r>
          </w:p>
        </w:tc>
        <w:tc>
          <w:tcPr>
            <w:tcW w:w="1199" w:type="dxa"/>
            <w:tcBorders>
              <w:top w:val="single" w:sz="2" w:space="0" w:color="CCCCCC"/>
              <w:left w:val="single" w:sz="2" w:space="0" w:color="CCCCCC"/>
              <w:bottom w:val="single" w:sz="2" w:space="0" w:color="CCCCCC"/>
              <w:right w:val="single" w:sz="2" w:space="0" w:color="CCCCCC"/>
            </w:tcBorders>
            <w:shd w:val="clear" w:color="auto" w:fill="FFFFFF"/>
            <w:tcMar>
              <w:top w:w="50" w:type="dxa"/>
              <w:bottom w:w="50" w:type="dxa"/>
            </w:tcMar>
          </w:tcPr>
          <w:p w14:paraId="2770566E" w14:textId="77777777" w:rsidR="006B79E0" w:rsidRDefault="00000000">
            <w:r>
              <w:rPr>
                <w:color w:val="1B1B1B"/>
                <w:sz w:val="20"/>
                <w:szCs w:val="20"/>
              </w:rPr>
              <w:t>×2-3</w:t>
            </w:r>
          </w:p>
        </w:tc>
        <w:tc>
          <w:tcPr>
            <w:tcW w:w="3501" w:type="dxa"/>
            <w:tcBorders>
              <w:top w:val="single" w:sz="2" w:space="0" w:color="CCCCCC"/>
              <w:left w:val="single" w:sz="2" w:space="0" w:color="CCCCCC"/>
              <w:bottom w:val="single" w:sz="2" w:space="0" w:color="CCCCCC"/>
              <w:right w:val="single" w:sz="2" w:space="0" w:color="CCCCCC"/>
            </w:tcBorders>
            <w:shd w:val="clear" w:color="auto" w:fill="FFFFFF"/>
            <w:tcMar>
              <w:top w:w="50" w:type="dxa"/>
              <w:bottom w:w="50" w:type="dxa"/>
            </w:tcMar>
          </w:tcPr>
          <w:p w14:paraId="1BB08544" w14:textId="77777777" w:rsidR="006B79E0" w:rsidRPr="00BD61C3" w:rsidRDefault="00000000">
            <w:pPr>
              <w:rPr>
                <w:lang w:val="fr-FR"/>
              </w:rPr>
            </w:pPr>
            <w:r>
              <w:rPr>
                <w:color w:val="1B1B1B"/>
                <w:sz w:val="20"/>
                <w:szCs w:val="20"/>
                <w:lang w:val="fr-FR"/>
              </w:rPr>
              <w:t>Mix énerg., taxe carbone, marché élec.</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50" w:type="dxa"/>
              <w:bottom w:w="50" w:type="dxa"/>
            </w:tcMar>
          </w:tcPr>
          <w:p w14:paraId="5DF54A3B" w14:textId="77777777" w:rsidR="006B79E0" w:rsidRDefault="00000000">
            <w:r>
              <w:rPr>
                <w:color w:val="1B1B1B"/>
                <w:sz w:val="20"/>
                <w:szCs w:val="20"/>
              </w:rPr>
              <w:t>Non — structurel</w:t>
            </w:r>
          </w:p>
        </w:tc>
      </w:tr>
      <w:tr w:rsidR="006B79E0" w14:paraId="76A78523"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50" w:type="dxa"/>
              <w:bottom w:w="50" w:type="dxa"/>
            </w:tcMar>
          </w:tcPr>
          <w:p w14:paraId="423A7F44" w14:textId="77777777" w:rsidR="006B79E0" w:rsidRDefault="00000000">
            <w:r>
              <w:rPr>
                <w:color w:val="1B1B1B"/>
                <w:sz w:val="20"/>
                <w:szCs w:val="20"/>
              </w:rPr>
              <w:t>Priorité livraison</w:t>
            </w:r>
          </w:p>
        </w:tc>
        <w:tc>
          <w:tcPr>
            <w:tcW w:w="1199" w:type="dxa"/>
            <w:tcBorders>
              <w:top w:val="single" w:sz="2" w:space="0" w:color="CCCCCC"/>
              <w:left w:val="single" w:sz="2" w:space="0" w:color="CCCCCC"/>
              <w:bottom w:val="single" w:sz="2" w:space="0" w:color="CCCCCC"/>
              <w:right w:val="single" w:sz="2" w:space="0" w:color="CCCCCC"/>
            </w:tcBorders>
            <w:shd w:val="clear" w:color="auto" w:fill="FFFFFF"/>
            <w:tcMar>
              <w:top w:w="50" w:type="dxa"/>
              <w:bottom w:w="50" w:type="dxa"/>
            </w:tcMar>
          </w:tcPr>
          <w:p w14:paraId="59313E7A" w14:textId="77777777" w:rsidR="006B79E0" w:rsidRDefault="00000000">
            <w:r>
              <w:rPr>
                <w:color w:val="1B1B1B"/>
                <w:sz w:val="20"/>
                <w:szCs w:val="20"/>
              </w:rPr>
              <w:t>×1,5-2</w:t>
            </w:r>
          </w:p>
        </w:tc>
        <w:tc>
          <w:tcPr>
            <w:tcW w:w="3501" w:type="dxa"/>
            <w:tcBorders>
              <w:top w:val="single" w:sz="2" w:space="0" w:color="CCCCCC"/>
              <w:left w:val="single" w:sz="2" w:space="0" w:color="CCCCCC"/>
              <w:bottom w:val="single" w:sz="2" w:space="0" w:color="CCCCCC"/>
              <w:right w:val="single" w:sz="2" w:space="0" w:color="CCCCCC"/>
            </w:tcBorders>
            <w:shd w:val="clear" w:color="auto" w:fill="FFFFFF"/>
            <w:tcMar>
              <w:top w:w="50" w:type="dxa"/>
              <w:bottom w:w="50" w:type="dxa"/>
            </w:tcMar>
          </w:tcPr>
          <w:p w14:paraId="5136A1F1" w14:textId="77777777" w:rsidR="006B79E0" w:rsidRDefault="00000000">
            <w:r>
              <w:rPr>
                <w:color w:val="1B1B1B"/>
                <w:sz w:val="20"/>
                <w:szCs w:val="20"/>
              </w:rPr>
              <w:t>Export controls, exemptions US</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50" w:type="dxa"/>
              <w:bottom w:w="50" w:type="dxa"/>
            </w:tcMar>
          </w:tcPr>
          <w:p w14:paraId="37EF694D" w14:textId="77777777" w:rsidR="006B79E0" w:rsidRDefault="00000000">
            <w:r>
              <w:rPr>
                <w:color w:val="1B1B1B"/>
                <w:sz w:val="20"/>
                <w:szCs w:val="20"/>
              </w:rPr>
              <w:t>Non — géopolitique</w:t>
            </w:r>
          </w:p>
        </w:tc>
      </w:tr>
      <w:tr w:rsidR="006B79E0" w14:paraId="3407DF6E"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50" w:type="dxa"/>
              <w:bottom w:w="50" w:type="dxa"/>
            </w:tcMar>
          </w:tcPr>
          <w:p w14:paraId="13AB8B93" w14:textId="77777777" w:rsidR="006B79E0" w:rsidRDefault="00000000">
            <w:r>
              <w:rPr>
                <w:color w:val="1B1B1B"/>
                <w:sz w:val="20"/>
                <w:szCs w:val="20"/>
              </w:rPr>
              <w:t>Gravité capitalistique</w:t>
            </w:r>
          </w:p>
        </w:tc>
        <w:tc>
          <w:tcPr>
            <w:tcW w:w="1199" w:type="dxa"/>
            <w:tcBorders>
              <w:top w:val="single" w:sz="2" w:space="0" w:color="CCCCCC"/>
              <w:left w:val="single" w:sz="2" w:space="0" w:color="CCCCCC"/>
              <w:bottom w:val="single" w:sz="2" w:space="0" w:color="CCCCCC"/>
              <w:right w:val="single" w:sz="2" w:space="0" w:color="CCCCCC"/>
            </w:tcBorders>
            <w:shd w:val="clear" w:color="auto" w:fill="FFFFFF"/>
            <w:tcMar>
              <w:top w:w="50" w:type="dxa"/>
              <w:bottom w:w="50" w:type="dxa"/>
            </w:tcMar>
          </w:tcPr>
          <w:p w14:paraId="3716439F" w14:textId="77777777" w:rsidR="006B79E0" w:rsidRDefault="00000000">
            <w:r>
              <w:rPr>
                <w:color w:val="1B1B1B"/>
                <w:sz w:val="20"/>
                <w:szCs w:val="20"/>
              </w:rPr>
              <w:t>×1,5-2</w:t>
            </w:r>
          </w:p>
        </w:tc>
        <w:tc>
          <w:tcPr>
            <w:tcW w:w="3501" w:type="dxa"/>
            <w:tcBorders>
              <w:top w:val="single" w:sz="2" w:space="0" w:color="CCCCCC"/>
              <w:left w:val="single" w:sz="2" w:space="0" w:color="CCCCCC"/>
              <w:bottom w:val="single" w:sz="2" w:space="0" w:color="CCCCCC"/>
              <w:right w:val="single" w:sz="2" w:space="0" w:color="CCCCCC"/>
            </w:tcBorders>
            <w:shd w:val="clear" w:color="auto" w:fill="FFFFFF"/>
            <w:tcMar>
              <w:top w:w="50" w:type="dxa"/>
              <w:bottom w:w="50" w:type="dxa"/>
            </w:tcMar>
          </w:tcPr>
          <w:p w14:paraId="6C2CED98" w14:textId="77777777" w:rsidR="006B79E0" w:rsidRDefault="00000000">
            <w:r>
              <w:rPr>
                <w:color w:val="1B1B1B"/>
                <w:sz w:val="20"/>
                <w:szCs w:val="20"/>
              </w:rPr>
              <w:t>ROI supérieur aux US</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50" w:type="dxa"/>
              <w:bottom w:w="50" w:type="dxa"/>
            </w:tcMar>
          </w:tcPr>
          <w:p w14:paraId="12A3E153" w14:textId="77777777" w:rsidR="006B79E0" w:rsidRDefault="00000000">
            <w:r>
              <w:rPr>
                <w:color w:val="1B1B1B"/>
                <w:sz w:val="20"/>
                <w:szCs w:val="20"/>
              </w:rPr>
              <w:t>Non — systémique</w:t>
            </w:r>
          </w:p>
        </w:tc>
      </w:tr>
      <w:tr w:rsidR="006B79E0" w14:paraId="59A6F7A0"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50" w:type="dxa"/>
              <w:bottom w:w="50" w:type="dxa"/>
            </w:tcMar>
          </w:tcPr>
          <w:p w14:paraId="2D13543B" w14:textId="77777777" w:rsidR="006B79E0" w:rsidRDefault="00000000">
            <w:r>
              <w:rPr>
                <w:b/>
                <w:bCs/>
                <w:color w:val="1B1B1B"/>
                <w:sz w:val="20"/>
                <w:szCs w:val="20"/>
              </w:rPr>
              <w:t>Total cumulé</w:t>
            </w:r>
          </w:p>
        </w:tc>
        <w:tc>
          <w:tcPr>
            <w:tcW w:w="1199" w:type="dxa"/>
            <w:tcBorders>
              <w:top w:val="single" w:sz="2" w:space="0" w:color="CCCCCC"/>
              <w:left w:val="single" w:sz="2" w:space="0" w:color="CCCCCC"/>
              <w:bottom w:val="single" w:sz="2" w:space="0" w:color="CCCCCC"/>
              <w:right w:val="single" w:sz="2" w:space="0" w:color="CCCCCC"/>
            </w:tcBorders>
            <w:shd w:val="clear" w:color="auto" w:fill="FFFFFF"/>
            <w:tcMar>
              <w:top w:w="50" w:type="dxa"/>
              <w:bottom w:w="50" w:type="dxa"/>
            </w:tcMar>
          </w:tcPr>
          <w:p w14:paraId="59932A08" w14:textId="77777777" w:rsidR="006B79E0" w:rsidRDefault="00000000">
            <w:r>
              <w:rPr>
                <w:b/>
                <w:bCs/>
                <w:color w:val="1B1B1B"/>
                <w:sz w:val="20"/>
                <w:szCs w:val="20"/>
              </w:rPr>
              <w:t>3.47:1</w:t>
            </w:r>
          </w:p>
        </w:tc>
        <w:tc>
          <w:tcPr>
            <w:tcW w:w="3501" w:type="dxa"/>
            <w:tcBorders>
              <w:top w:val="single" w:sz="2" w:space="0" w:color="CCCCCC"/>
              <w:left w:val="single" w:sz="2" w:space="0" w:color="CCCCCC"/>
              <w:bottom w:val="single" w:sz="2" w:space="0" w:color="CCCCCC"/>
              <w:right w:val="single" w:sz="2" w:space="0" w:color="CCCCCC"/>
            </w:tcBorders>
            <w:shd w:val="clear" w:color="auto" w:fill="FFFFFF"/>
            <w:tcMar>
              <w:top w:w="50" w:type="dxa"/>
              <w:bottom w:w="50" w:type="dxa"/>
            </w:tcMar>
          </w:tcPr>
          <w:p w14:paraId="7DC0637F" w14:textId="77777777" w:rsidR="006B79E0" w:rsidRDefault="00000000">
            <w:r>
              <w:rPr>
                <w:b/>
                <w:bCs/>
                <w:color w:val="1B1B1B"/>
                <w:sz w:val="20"/>
                <w:szCs w:val="20"/>
              </w:rPr>
              <w:t>Multiplicatif</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50" w:type="dxa"/>
              <w:bottom w:w="50" w:type="dxa"/>
            </w:tcMar>
          </w:tcPr>
          <w:p w14:paraId="58B6033C" w14:textId="77777777" w:rsidR="006B79E0" w:rsidRDefault="00000000">
            <w:r>
              <w:rPr>
                <w:b/>
                <w:bCs/>
                <w:color w:val="C0392B"/>
                <w:sz w:val="20"/>
                <w:szCs w:val="20"/>
              </w:rPr>
              <w:t>NON</w:t>
            </w:r>
          </w:p>
        </w:tc>
      </w:tr>
    </w:tbl>
    <w:p w14:paraId="7576A55D" w14:textId="77777777" w:rsidR="006B79E0" w:rsidRPr="00BD61C3" w:rsidRDefault="00000000">
      <w:pPr>
        <w:spacing w:after="100" w:line="276" w:lineRule="auto"/>
        <w:jc w:val="both"/>
        <w:rPr>
          <w:lang w:val="fr-FR"/>
        </w:rPr>
      </w:pPr>
      <w:r>
        <w:rPr>
          <w:i/>
          <w:iCs/>
          <w:color w:val="666666"/>
          <w:sz w:val="18"/>
          <w:szCs w:val="18"/>
          <w:lang w:val="fr-FR"/>
        </w:rPr>
        <w:t>Tableau. Décomposition du ratio CACI US/EU. Source : calibration auteur (2024).</w:t>
      </w:r>
    </w:p>
    <w:p w14:paraId="63B2E4BB" w14:textId="77777777" w:rsidR="006B79E0" w:rsidRPr="00BD61C3" w:rsidRDefault="00000000">
      <w:pPr>
        <w:spacing w:after="180" w:line="276" w:lineRule="auto"/>
        <w:ind w:left="240"/>
        <w:jc w:val="both"/>
        <w:rPr>
          <w:lang w:val="fr-FR"/>
        </w:rPr>
      </w:pPr>
      <w:r>
        <w:rPr>
          <w:b/>
          <w:bCs/>
          <w:color w:val="333333"/>
          <w:sz w:val="23"/>
          <w:szCs w:val="23"/>
          <w:lang w:val="fr-FR"/>
        </w:rPr>
        <w:t>Les facteurs sont multiplicatifs, pas additifs.</w:t>
      </w:r>
      <w:r>
        <w:rPr>
          <w:color w:val="333333"/>
          <w:sz w:val="23"/>
          <w:szCs w:val="23"/>
          <w:lang w:val="fr-FR"/>
        </w:rPr>
        <w:t xml:space="preserve"> 1,5 (PIB) × 2-3 (énergie) × 1,5-2 (livraison) × 1,5-2 (gravité) = 3.4 (mode Power). Même en résolvant un seul facteur, les autres maintiennent un écart considérable.</w:t>
      </w:r>
    </w:p>
    <w:p w14:paraId="60FDD530" w14:textId="77777777" w:rsidR="006B79E0" w:rsidRPr="00BD61C3" w:rsidRDefault="00000000">
      <w:pPr>
        <w:rPr>
          <w:lang w:val="fr-FR"/>
        </w:rPr>
      </w:pPr>
      <w:r>
        <w:rPr>
          <w:lang w:val="fr-FR"/>
        </w:rPr>
        <w:br w:type="page"/>
      </w:r>
    </w:p>
    <w:p w14:paraId="04E88AED" w14:textId="77777777" w:rsidR="006B79E0" w:rsidRPr="00BD61C3" w:rsidRDefault="00000000">
      <w:pPr>
        <w:pStyle w:val="Titre1"/>
        <w:pBdr>
          <w:bottom w:val="single" w:sz="2" w:space="6" w:color="1B4F72"/>
        </w:pBdr>
        <w:spacing w:before="0"/>
        <w:rPr>
          <w:lang w:val="fr-FR"/>
        </w:rPr>
      </w:pPr>
      <w:r>
        <w:rPr>
          <w:lang w:val="fr-FR"/>
        </w:rPr>
        <w:lastRenderedPageBreak/>
        <w:t>PARTIE B — « Mais on peut utiliser le cloud américain, non ? »</w:t>
      </w:r>
    </w:p>
    <w:p w14:paraId="68265C92" w14:textId="77777777" w:rsidR="006B79E0" w:rsidRPr="00BD61C3" w:rsidRDefault="00000000">
      <w:pPr>
        <w:shd w:val="clear" w:color="auto" w:fill="EBF5FB"/>
        <w:spacing w:before="400" w:after="140"/>
        <w:rPr>
          <w:lang w:val="fr-FR"/>
        </w:rPr>
      </w:pPr>
      <w:r>
        <w:rPr>
          <w:b/>
          <w:bCs/>
          <w:color w:val="C0392B"/>
          <w:lang w:val="fr-FR"/>
        </w:rPr>
        <w:t xml:space="preserve">Q4. </w:t>
      </w:r>
      <w:r>
        <w:rPr>
          <w:b/>
          <w:bCs/>
          <w:color w:val="1B4F72"/>
          <w:lang w:val="fr-FR"/>
        </w:rPr>
        <w:t>L’Europe utilise déjà massivement le cloud US. Le ratio est donc un faux problème ?</w:t>
      </w:r>
      <w:r>
        <w:rPr>
          <w:i/>
          <w:iCs/>
          <w:color w:val="666666"/>
          <w:sz w:val="20"/>
          <w:szCs w:val="20"/>
          <w:lang w:val="fr-FR"/>
        </w:rPr>
        <w:t xml:space="preserve">  [Décideur / Industriel]</w:t>
      </w:r>
    </w:p>
    <w:p w14:paraId="22BA28E7" w14:textId="77777777" w:rsidR="006B79E0" w:rsidRPr="00BD61C3" w:rsidRDefault="00000000">
      <w:pPr>
        <w:spacing w:after="180" w:line="276" w:lineRule="auto"/>
        <w:ind w:left="240"/>
        <w:jc w:val="both"/>
        <w:rPr>
          <w:lang w:val="fr-FR"/>
        </w:rPr>
      </w:pPr>
      <w:r>
        <w:rPr>
          <w:b/>
          <w:bCs/>
          <w:color w:val="333333"/>
          <w:sz w:val="23"/>
          <w:szCs w:val="23"/>
          <w:lang w:val="fr-FR"/>
        </w:rPr>
        <w:t>C’est l’objection de 90 % des décideurs européens.</w:t>
      </w:r>
      <w:r>
        <w:rPr>
          <w:color w:val="333333"/>
          <w:sz w:val="23"/>
          <w:szCs w:val="23"/>
          <w:lang w:val="fr-FR"/>
        </w:rPr>
        <w:t xml:space="preserve"> Et à court terme, ils ont raison. Pourquoi investir dans du compute souverain si on peut louer celui des Américains ? AWS, Azure et GCP sont disponibles, performants, et immédiatement accessibles. 72 % des workloads IA européens tournent déjà dessus.</w:t>
      </w:r>
    </w:p>
    <w:p w14:paraId="5ABFF3EB" w14:textId="77777777" w:rsidR="006B79E0" w:rsidRPr="00BD61C3" w:rsidRDefault="00000000">
      <w:pPr>
        <w:spacing w:after="180" w:line="276" w:lineRule="auto"/>
        <w:ind w:left="240"/>
        <w:jc w:val="both"/>
        <w:rPr>
          <w:lang w:val="fr-FR"/>
        </w:rPr>
      </w:pPr>
      <w:r>
        <w:rPr>
          <w:b/>
          <w:bCs/>
          <w:color w:val="333333"/>
          <w:sz w:val="23"/>
          <w:szCs w:val="23"/>
          <w:lang w:val="fr-FR"/>
        </w:rPr>
        <w:t>Mais c’est exactement la définition de la dépendance stratégique.</w:t>
      </w:r>
      <w:r>
        <w:rPr>
          <w:color w:val="333333"/>
          <w:sz w:val="23"/>
          <w:szCs w:val="23"/>
          <w:lang w:val="fr-FR"/>
        </w:rPr>
        <w:t xml:space="preserve"> Vous louez l’infrastructure critique de quelqu’un d’autre, qui peut : (1) lire vos données, (2) vous couper l’accès, (3) vous faire payer plus cher, et (4) vous livrer après ses propres clients. Les quatre risques sont documentés et concrets.</w:t>
      </w:r>
    </w:p>
    <w:p w14:paraId="10FD5B96" w14:textId="77777777" w:rsidR="006B79E0" w:rsidRPr="00BD61C3" w:rsidRDefault="00000000">
      <w:pPr>
        <w:shd w:val="clear" w:color="auto" w:fill="EBF5FB"/>
        <w:spacing w:before="400" w:after="140"/>
        <w:rPr>
          <w:lang w:val="fr-FR"/>
        </w:rPr>
      </w:pPr>
      <w:r>
        <w:rPr>
          <w:b/>
          <w:bCs/>
          <w:color w:val="C0392B"/>
          <w:lang w:val="fr-FR"/>
        </w:rPr>
        <w:t xml:space="preserve">Q5. </w:t>
      </w:r>
      <w:r>
        <w:rPr>
          <w:b/>
          <w:bCs/>
          <w:color w:val="1B4F72"/>
          <w:lang w:val="fr-FR"/>
        </w:rPr>
        <w:t>Risque 1 : le CLOUD Act. Nos données sont-elles vraiment accessibles aux Américains ?</w:t>
      </w:r>
      <w:r>
        <w:rPr>
          <w:i/>
          <w:iCs/>
          <w:color w:val="666666"/>
          <w:sz w:val="20"/>
          <w:szCs w:val="20"/>
          <w:lang w:val="fr-FR"/>
        </w:rPr>
        <w:t xml:space="preserve">  [Juriste / DPO]</w:t>
      </w:r>
    </w:p>
    <w:p w14:paraId="62AF3B78" w14:textId="77777777" w:rsidR="006B79E0" w:rsidRPr="00BD61C3" w:rsidRDefault="00000000">
      <w:pPr>
        <w:spacing w:after="180" w:line="276" w:lineRule="auto"/>
        <w:ind w:left="240"/>
        <w:jc w:val="both"/>
        <w:rPr>
          <w:lang w:val="fr-FR"/>
        </w:rPr>
      </w:pPr>
      <w:r>
        <w:rPr>
          <w:b/>
          <w:bCs/>
          <w:color w:val="333333"/>
          <w:sz w:val="23"/>
          <w:szCs w:val="23"/>
          <w:lang w:val="fr-FR"/>
        </w:rPr>
        <w:t>Oui.</w:t>
      </w:r>
      <w:r>
        <w:rPr>
          <w:color w:val="333333"/>
          <w:sz w:val="23"/>
          <w:szCs w:val="23"/>
          <w:lang w:val="fr-FR"/>
        </w:rPr>
        <w:t xml:space="preserve"> Le Clarifying Lawful Overseas Use of Data Act (CLOUD Act, 2018) autorise les autorités américaines à accéder aux données stockées sur les serveurs des entreprises américaines, </w:t>
      </w:r>
      <w:r>
        <w:rPr>
          <w:b/>
          <w:bCs/>
          <w:color w:val="333333"/>
          <w:sz w:val="23"/>
          <w:szCs w:val="23"/>
          <w:lang w:val="fr-FR"/>
        </w:rPr>
        <w:t>même si le serveur est physiquement hors du sol US.</w:t>
      </w:r>
    </w:p>
    <w:p w14:paraId="77894A59" w14:textId="77777777" w:rsidR="006B79E0" w:rsidRPr="00BD61C3" w:rsidRDefault="00000000">
      <w:pPr>
        <w:spacing w:after="180" w:line="276" w:lineRule="auto"/>
        <w:ind w:left="240"/>
        <w:jc w:val="both"/>
        <w:rPr>
          <w:lang w:val="fr-FR"/>
        </w:rPr>
      </w:pPr>
      <w:r>
        <w:rPr>
          <w:color w:val="333333"/>
          <w:sz w:val="23"/>
          <w:szCs w:val="23"/>
          <w:lang w:val="fr-FR"/>
        </w:rPr>
        <w:t>Concrètement : une banque française qui entraîne son modèle de scoring crédit sur Azure (serveur en Irlande) — le DoJ américain peut juridiquement exiger l’accès. Un modèle de défense entraîné sur AWS — la NSA peut y accéder. Un algorithme de trading propriétaire sur GCP — la SEC peut le demander.</w:t>
      </w:r>
    </w:p>
    <w:p w14:paraId="68F63DC7" w14:textId="77777777" w:rsidR="006B79E0" w:rsidRPr="00BD61C3" w:rsidRDefault="00000000">
      <w:pPr>
        <w:spacing w:after="180" w:line="276" w:lineRule="auto"/>
        <w:ind w:left="240"/>
        <w:jc w:val="both"/>
        <w:rPr>
          <w:lang w:val="fr-FR"/>
        </w:rPr>
      </w:pPr>
      <w:r>
        <w:rPr>
          <w:color w:val="333333"/>
          <w:sz w:val="23"/>
          <w:szCs w:val="23"/>
          <w:lang w:val="fr-FR"/>
        </w:rPr>
        <w:t>Ce n’est pas une théorie conspirationniste : c’est le droit américain en vigueur. Le CLOUD Act ne fait pas de distinction entre les données américaines et européennes — il s’applique à l’entreprise (AWS, Microsoft, Google), pas au territoire.</w:t>
      </w:r>
    </w:p>
    <w:p w14:paraId="49ACE877" w14:textId="77777777" w:rsidR="006B79E0" w:rsidRPr="00BD61C3" w:rsidRDefault="00000000">
      <w:pPr>
        <w:pBdr>
          <w:left w:val="single" w:sz="6" w:space="8" w:color="D4AC0D"/>
        </w:pBdr>
        <w:shd w:val="clear" w:color="auto" w:fill="FDEDEC"/>
        <w:spacing w:before="100" w:after="200" w:line="276" w:lineRule="auto"/>
        <w:ind w:left="360" w:right="360"/>
        <w:jc w:val="both"/>
        <w:rPr>
          <w:lang w:val="fr-FR"/>
        </w:rPr>
      </w:pPr>
      <w:r>
        <w:rPr>
          <w:color w:val="C0392B"/>
          <w:sz w:val="22"/>
          <w:szCs w:val="22"/>
          <w:lang w:val="fr-FR"/>
        </w:rPr>
        <w:t>Implication : tout modèle IA entraîné par une entreprise européenne sur une infrastructure cloud américaine est potentiellement accessible aux autorités américaines. C’est un risque de souveraineté, pas un risque théorique.</w:t>
      </w:r>
    </w:p>
    <w:p w14:paraId="095EE9A9" w14:textId="77777777" w:rsidR="006B79E0" w:rsidRPr="00BD61C3" w:rsidRDefault="00000000">
      <w:pPr>
        <w:shd w:val="clear" w:color="auto" w:fill="EBF5FB"/>
        <w:spacing w:before="400" w:after="140"/>
        <w:rPr>
          <w:lang w:val="fr-FR"/>
        </w:rPr>
      </w:pPr>
      <w:r>
        <w:rPr>
          <w:b/>
          <w:bCs/>
          <w:color w:val="C0392B"/>
          <w:lang w:val="fr-FR"/>
        </w:rPr>
        <w:t xml:space="preserve">Q6. </w:t>
      </w:r>
      <w:r>
        <w:rPr>
          <w:b/>
          <w:bCs/>
          <w:color w:val="1B4F72"/>
          <w:lang w:val="fr-FR"/>
        </w:rPr>
        <w:t>Risque 2 : l’accès cloud peut-il vraiment être coupé ou restreint ?</w:t>
      </w:r>
      <w:r>
        <w:rPr>
          <w:i/>
          <w:iCs/>
          <w:color w:val="666666"/>
          <w:sz w:val="20"/>
          <w:szCs w:val="20"/>
          <w:lang w:val="fr-FR"/>
        </w:rPr>
        <w:t xml:space="preserve">  [Géopoliticien / Stratégiste]</w:t>
      </w:r>
    </w:p>
    <w:p w14:paraId="1936B65D" w14:textId="77777777" w:rsidR="006B79E0" w:rsidRPr="00BD61C3" w:rsidRDefault="00000000">
      <w:pPr>
        <w:spacing w:after="180" w:line="276" w:lineRule="auto"/>
        <w:ind w:left="240"/>
        <w:jc w:val="both"/>
        <w:rPr>
          <w:lang w:val="fr-FR"/>
        </w:rPr>
      </w:pPr>
      <w:r>
        <w:rPr>
          <w:b/>
          <w:bCs/>
          <w:color w:val="333333"/>
          <w:sz w:val="23"/>
          <w:szCs w:val="23"/>
          <w:lang w:val="fr-FR"/>
        </w:rPr>
        <w:t>C’est déjà arrivé — et le mécanisme est en place pour l’élargir.</w:t>
      </w:r>
      <w:r>
        <w:rPr>
          <w:color w:val="333333"/>
          <w:sz w:val="23"/>
          <w:szCs w:val="23"/>
          <w:lang w:val="fr-FR"/>
        </w:rPr>
        <w:t xml:space="preserve"> C’est le « chokepoint effect » de Farrell &amp; Newman (2019) appliqué au cloud. Les US ont déjà :</w:t>
      </w:r>
    </w:p>
    <w:p w14:paraId="62FEC993" w14:textId="77777777" w:rsidR="006B79E0" w:rsidRPr="00BD61C3" w:rsidRDefault="00000000">
      <w:pPr>
        <w:spacing w:after="180" w:line="276" w:lineRule="auto"/>
        <w:ind w:left="240"/>
        <w:jc w:val="both"/>
        <w:rPr>
          <w:lang w:val="fr-FR"/>
        </w:rPr>
      </w:pPr>
      <w:r>
        <w:rPr>
          <w:b/>
          <w:bCs/>
          <w:color w:val="333333"/>
          <w:sz w:val="23"/>
          <w:szCs w:val="23"/>
          <w:lang w:val="fr-FR"/>
        </w:rPr>
        <w:t xml:space="preserve">• Coupé l’accès cloud aux entités chinoises </w:t>
      </w:r>
      <w:r>
        <w:rPr>
          <w:color w:val="333333"/>
          <w:sz w:val="23"/>
          <w:szCs w:val="23"/>
          <w:lang w:val="fr-FR"/>
        </w:rPr>
        <w:t>(Entity List, BIS). Les entreprises chinoises listées ne peuvent plus accéder à AWS, Azure ou GCP. Du jour au lendemain.</w:t>
      </w:r>
    </w:p>
    <w:p w14:paraId="63880AA8" w14:textId="77777777" w:rsidR="006B79E0" w:rsidRPr="00BD61C3" w:rsidRDefault="00000000">
      <w:pPr>
        <w:spacing w:after="180" w:line="276" w:lineRule="auto"/>
        <w:ind w:left="240"/>
        <w:jc w:val="both"/>
        <w:rPr>
          <w:lang w:val="fr-FR"/>
        </w:rPr>
      </w:pPr>
      <w:r>
        <w:rPr>
          <w:b/>
          <w:bCs/>
          <w:color w:val="333333"/>
          <w:sz w:val="23"/>
          <w:szCs w:val="23"/>
          <w:lang w:val="fr-FR"/>
        </w:rPr>
        <w:t xml:space="preserve">• Restreint l’accès cloud par pays </w:t>
      </w:r>
      <w:r>
        <w:rPr>
          <w:color w:val="333333"/>
          <w:sz w:val="23"/>
          <w:szCs w:val="23"/>
          <w:lang w:val="fr-FR"/>
        </w:rPr>
        <w:t>(AI Diffusion Rule, quotas Tier 2). Les pays classés Tier 2 ont des plafonds sur le volume de compute cloud qu’ils peuvent consommer.</w:t>
      </w:r>
    </w:p>
    <w:p w14:paraId="750DAB57" w14:textId="77777777" w:rsidR="006B79E0" w:rsidRPr="00BD61C3" w:rsidRDefault="00000000">
      <w:pPr>
        <w:spacing w:after="180" w:line="276" w:lineRule="auto"/>
        <w:ind w:left="240"/>
        <w:jc w:val="both"/>
        <w:rPr>
          <w:lang w:val="fr-FR"/>
        </w:rPr>
      </w:pPr>
      <w:r>
        <w:rPr>
          <w:b/>
          <w:bCs/>
          <w:color w:val="333333"/>
          <w:sz w:val="23"/>
          <w:szCs w:val="23"/>
          <w:lang w:val="fr-FR"/>
        </w:rPr>
        <w:t xml:space="preserve">• Envisagé l’élargissement des restrictions </w:t>
      </w:r>
      <w:r>
        <w:rPr>
          <w:color w:val="333333"/>
          <w:sz w:val="23"/>
          <w:szCs w:val="23"/>
          <w:lang w:val="fr-FR"/>
        </w:rPr>
        <w:t>(Section 232, Proclamation prévoit un élargissement possible juillet 2026).</w:t>
      </w:r>
    </w:p>
    <w:p w14:paraId="2873206B" w14:textId="77777777" w:rsidR="006B79E0" w:rsidRPr="00BD61C3" w:rsidRDefault="00000000">
      <w:pPr>
        <w:spacing w:after="180" w:line="276" w:lineRule="auto"/>
        <w:ind w:left="240"/>
        <w:jc w:val="both"/>
        <w:rPr>
          <w:lang w:val="fr-FR"/>
        </w:rPr>
      </w:pPr>
      <w:r>
        <w:rPr>
          <w:color w:val="333333"/>
          <w:sz w:val="23"/>
          <w:szCs w:val="23"/>
          <w:lang w:val="fr-FR"/>
        </w:rPr>
        <w:lastRenderedPageBreak/>
        <w:t>Aujourd’hui, l’Europe est Tier 1 — accès libre. Mais le mécanisme juridique est en place. Le jour où un conflit commercial éclate (représailles AI Act, taxe GAFA 2.0, désaccord OTAN), il suffit d’un executive order pour restreindre l’accès cloud européen. Le Scénario B de l’étude (« vassalisation numérique ») modélise exactement ce cas.</w:t>
      </w:r>
    </w:p>
    <w:p w14:paraId="63AF6D6E" w14:textId="77777777" w:rsidR="006B79E0" w:rsidRPr="00BD61C3" w:rsidRDefault="00000000">
      <w:pPr>
        <w:pBdr>
          <w:left w:val="single" w:sz="6" w:space="8" w:color="D4AC0D"/>
        </w:pBdr>
        <w:shd w:val="clear" w:color="auto" w:fill="FEF9E7"/>
        <w:spacing w:before="100" w:after="200" w:line="276" w:lineRule="auto"/>
        <w:ind w:left="360" w:right="360"/>
        <w:jc w:val="both"/>
        <w:rPr>
          <w:lang w:val="fr-FR"/>
        </w:rPr>
      </w:pPr>
      <w:r>
        <w:rPr>
          <w:color w:val="1B4F72"/>
          <w:sz w:val="22"/>
          <w:szCs w:val="22"/>
          <w:lang w:val="fr-FR"/>
        </w:rPr>
        <w:t>Rappel historique : l’Europe achetait le gaz russe parce que c’était moins cher et plus simple que de construire des alternatives. Jusqu’en février 2022. Le compute US, c’est le gaz russe de l’IA — sauf que la dépendance est encore plus profonde, parce qu’on ne stocke pas du compute comme on stocke du gaz.</w:t>
      </w:r>
    </w:p>
    <w:p w14:paraId="5C05F684" w14:textId="77777777" w:rsidR="006B79E0" w:rsidRPr="00BD61C3" w:rsidRDefault="00000000">
      <w:pPr>
        <w:shd w:val="clear" w:color="auto" w:fill="EBF5FB"/>
        <w:spacing w:before="400" w:after="140"/>
        <w:rPr>
          <w:lang w:val="fr-FR"/>
        </w:rPr>
      </w:pPr>
      <w:r>
        <w:rPr>
          <w:b/>
          <w:bCs/>
          <w:color w:val="C0392B"/>
          <w:lang w:val="fr-FR"/>
        </w:rPr>
        <w:t xml:space="preserve">Q7. </w:t>
      </w:r>
      <w:r>
        <w:rPr>
          <w:b/>
          <w:bCs/>
          <w:color w:val="1B4F72"/>
          <w:lang w:val="fr-FR"/>
        </w:rPr>
        <w:t>Risque 3 : même sans coupure, le cloud US ne coûte-t-il pas plus cher pour les Européens ?</w:t>
      </w:r>
      <w:r>
        <w:rPr>
          <w:i/>
          <w:iCs/>
          <w:color w:val="666666"/>
          <w:sz w:val="20"/>
          <w:szCs w:val="20"/>
          <w:lang w:val="fr-FR"/>
        </w:rPr>
        <w:t xml:space="preserve">  [Industriel / CFO]</w:t>
      </w:r>
    </w:p>
    <w:p w14:paraId="6BCF12D2" w14:textId="77777777" w:rsidR="006B79E0" w:rsidRPr="00BD61C3" w:rsidRDefault="00000000">
      <w:pPr>
        <w:spacing w:after="180" w:line="276" w:lineRule="auto"/>
        <w:ind w:left="240"/>
        <w:jc w:val="both"/>
        <w:rPr>
          <w:lang w:val="fr-FR"/>
        </w:rPr>
      </w:pPr>
      <w:r>
        <w:rPr>
          <w:b/>
          <w:bCs/>
          <w:color w:val="333333"/>
          <w:sz w:val="23"/>
          <w:szCs w:val="23"/>
          <w:lang w:val="fr-FR"/>
        </w:rPr>
        <w:t>Oui. Le FLOP coûte $0,5/TFlop aux US et $1,2-1,8/TFlop en EU</w:t>
      </w:r>
      <w:r>
        <w:rPr>
          <w:color w:val="333333"/>
          <w:sz w:val="23"/>
          <w:szCs w:val="23"/>
          <w:lang w:val="fr-FR"/>
        </w:rPr>
        <w:t xml:space="preserve"> (Tableau 9, Chapitre IV). Ce différentiel de 2,4-3,6× vient de trois facteurs :</w:t>
      </w:r>
    </w:p>
    <w:p w14:paraId="0211FF93" w14:textId="77777777" w:rsidR="006B79E0" w:rsidRPr="00BD61C3" w:rsidRDefault="00000000">
      <w:pPr>
        <w:spacing w:after="180" w:line="276" w:lineRule="auto"/>
        <w:ind w:left="240"/>
        <w:jc w:val="both"/>
        <w:rPr>
          <w:lang w:val="fr-FR"/>
        </w:rPr>
      </w:pPr>
      <w:r>
        <w:rPr>
          <w:b/>
          <w:bCs/>
          <w:color w:val="333333"/>
          <w:sz w:val="23"/>
          <w:szCs w:val="23"/>
          <w:lang w:val="fr-FR"/>
        </w:rPr>
        <w:t xml:space="preserve">La latence réseau : </w:t>
      </w:r>
      <w:r>
        <w:rPr>
          <w:color w:val="333333"/>
          <w:sz w:val="23"/>
          <w:szCs w:val="23"/>
          <w:lang w:val="fr-FR"/>
        </w:rPr>
        <w:t>un modèle entraîné en Virginie depuis Paris subit des délais de transfert de données qui réduisent l’efficacité du training distribué. Pour les applications temps réel (manufacturing autonome, véhicules connectés, trading), la latence est rédhibitoire.</w:t>
      </w:r>
    </w:p>
    <w:p w14:paraId="0786527E" w14:textId="77777777" w:rsidR="006B79E0" w:rsidRPr="00BD61C3" w:rsidRDefault="00000000">
      <w:pPr>
        <w:spacing w:after="180" w:line="276" w:lineRule="auto"/>
        <w:ind w:left="240"/>
        <w:jc w:val="both"/>
        <w:rPr>
          <w:lang w:val="fr-FR"/>
        </w:rPr>
      </w:pPr>
      <w:r>
        <w:rPr>
          <w:b/>
          <w:bCs/>
          <w:color w:val="333333"/>
          <w:sz w:val="23"/>
          <w:szCs w:val="23"/>
          <w:lang w:val="fr-FR"/>
        </w:rPr>
        <w:t xml:space="preserve">Les coûts de transfert (egress fees) : </w:t>
      </w:r>
      <w:r>
        <w:rPr>
          <w:color w:val="333333"/>
          <w:sz w:val="23"/>
          <w:szCs w:val="23"/>
          <w:lang w:val="fr-FR"/>
        </w:rPr>
        <w:t>les hyperscalers facturent le transfert de données hors de leurs régions. Rapatrier un modèle entraîné aux US vers l’EU coûte. Stocker et transférer des datasets européens vers les US coûte. Ces frais s’empilent.</w:t>
      </w:r>
    </w:p>
    <w:p w14:paraId="47176612" w14:textId="77777777" w:rsidR="006B79E0" w:rsidRPr="00BD61C3" w:rsidRDefault="00000000">
      <w:pPr>
        <w:spacing w:after="180" w:line="276" w:lineRule="auto"/>
        <w:ind w:left="240"/>
        <w:jc w:val="both"/>
        <w:rPr>
          <w:lang w:val="fr-FR"/>
        </w:rPr>
      </w:pPr>
      <w:r>
        <w:rPr>
          <w:b/>
          <w:bCs/>
          <w:color w:val="333333"/>
          <w:sz w:val="23"/>
          <w:szCs w:val="23"/>
          <w:lang w:val="fr-FR"/>
        </w:rPr>
        <w:t xml:space="preserve">Les marges régionales : </w:t>
      </w:r>
      <w:r>
        <w:rPr>
          <w:color w:val="333333"/>
          <w:sz w:val="23"/>
          <w:szCs w:val="23"/>
          <w:lang w:val="fr-FR"/>
        </w:rPr>
        <w:t>AWS, Azure et GCP pratiquent des tarifs 15-25 % plus élevés en région EU qu’en région US pour le même GPU-heure. C’est documenté par Bruegel.</w:t>
      </w:r>
    </w:p>
    <w:p w14:paraId="67B39725" w14:textId="77777777" w:rsidR="006B79E0" w:rsidRPr="00BD61C3" w:rsidRDefault="00000000">
      <w:pPr>
        <w:spacing w:after="180" w:line="276" w:lineRule="auto"/>
        <w:ind w:left="240"/>
        <w:jc w:val="both"/>
        <w:rPr>
          <w:lang w:val="fr-FR"/>
        </w:rPr>
      </w:pPr>
      <w:r>
        <w:rPr>
          <w:b/>
          <w:bCs/>
          <w:color w:val="333333"/>
          <w:sz w:val="23"/>
          <w:szCs w:val="23"/>
          <w:lang w:val="fr-FR"/>
        </w:rPr>
        <w:t>Résultat : les startups françaises paient 2 à 3× plus cher le même GPU-heure que leurs concurrentes de la Silicon Valley.</w:t>
      </w:r>
      <w:r>
        <w:rPr>
          <w:color w:val="333333"/>
          <w:sz w:val="23"/>
          <w:szCs w:val="23"/>
          <w:lang w:val="fr-FR"/>
        </w:rPr>
        <w:t xml:space="preserve"> Même en utilisant le cloud US, le terrain de jeu n’est pas égal.</w:t>
      </w:r>
    </w:p>
    <w:p w14:paraId="6FBA5675" w14:textId="77777777" w:rsidR="006B79E0" w:rsidRPr="00BD61C3" w:rsidRDefault="00000000">
      <w:pPr>
        <w:shd w:val="clear" w:color="auto" w:fill="EBF5FB"/>
        <w:spacing w:before="400" w:after="140"/>
        <w:rPr>
          <w:lang w:val="fr-FR"/>
        </w:rPr>
      </w:pPr>
      <w:r>
        <w:rPr>
          <w:b/>
          <w:bCs/>
          <w:color w:val="C0392B"/>
          <w:lang w:val="fr-FR"/>
        </w:rPr>
        <w:t xml:space="preserve">Q8. </w:t>
      </w:r>
      <w:r>
        <w:rPr>
          <w:b/>
          <w:bCs/>
          <w:color w:val="1B4F72"/>
          <w:lang w:val="fr-FR"/>
        </w:rPr>
        <w:t>Risque 4 : quel impact concret sur le time-to-market des entreprises européennes ?</w:t>
      </w:r>
      <w:r>
        <w:rPr>
          <w:i/>
          <w:iCs/>
          <w:color w:val="666666"/>
          <w:sz w:val="20"/>
          <w:szCs w:val="20"/>
          <w:lang w:val="fr-FR"/>
        </w:rPr>
        <w:t xml:space="preserve">  [Industriel / Startup]</w:t>
      </w:r>
    </w:p>
    <w:p w14:paraId="5A93B58C" w14:textId="77777777" w:rsidR="006B79E0" w:rsidRPr="00BD61C3" w:rsidRDefault="00000000">
      <w:pPr>
        <w:spacing w:after="180" w:line="276" w:lineRule="auto"/>
        <w:ind w:left="240"/>
        <w:jc w:val="both"/>
        <w:rPr>
          <w:lang w:val="fr-FR"/>
        </w:rPr>
      </w:pPr>
      <w:r>
        <w:rPr>
          <w:b/>
          <w:bCs/>
          <w:color w:val="333333"/>
          <w:sz w:val="23"/>
          <w:szCs w:val="23"/>
          <w:lang w:val="fr-FR"/>
        </w:rPr>
        <w:t>McKinsey documente un allongement de 25-40 % du time-to-market</w:t>
      </w:r>
      <w:r>
        <w:rPr>
          <w:color w:val="333333"/>
          <w:sz w:val="23"/>
          <w:szCs w:val="23"/>
          <w:lang w:val="fr-FR"/>
        </w:rPr>
        <w:t xml:space="preserve"> pour les entreprises européennes par rapport à leurs concurrentes américaines. Ce retard vient de trois facteurs cumulés :</w:t>
      </w:r>
    </w:p>
    <w:p w14:paraId="6FA89D30" w14:textId="77777777" w:rsidR="006B79E0" w:rsidRPr="00BD61C3" w:rsidRDefault="00000000">
      <w:pPr>
        <w:spacing w:after="180" w:line="276" w:lineRule="auto"/>
        <w:ind w:left="240"/>
        <w:jc w:val="both"/>
        <w:rPr>
          <w:lang w:val="fr-FR"/>
        </w:rPr>
      </w:pPr>
      <w:r>
        <w:rPr>
          <w:b/>
          <w:bCs/>
          <w:color w:val="333333"/>
          <w:sz w:val="23"/>
          <w:szCs w:val="23"/>
          <w:lang w:val="fr-FR"/>
        </w:rPr>
        <w:t xml:space="preserve">1) Accès au compute plus lent : </w:t>
      </w:r>
      <w:r>
        <w:rPr>
          <w:color w:val="333333"/>
          <w:sz w:val="23"/>
          <w:szCs w:val="23"/>
          <w:lang w:val="fr-FR"/>
        </w:rPr>
        <w:t>files d’attente pour les GPU, délais de livraison, quotas de capacité cloud en région EU.</w:t>
      </w:r>
    </w:p>
    <w:p w14:paraId="32A338C5" w14:textId="77777777" w:rsidR="006B79E0" w:rsidRPr="00BD61C3" w:rsidRDefault="00000000">
      <w:pPr>
        <w:spacing w:after="180" w:line="276" w:lineRule="auto"/>
        <w:ind w:left="240"/>
        <w:jc w:val="both"/>
        <w:rPr>
          <w:lang w:val="fr-FR"/>
        </w:rPr>
      </w:pPr>
      <w:r>
        <w:rPr>
          <w:b/>
          <w:bCs/>
          <w:color w:val="333333"/>
          <w:sz w:val="23"/>
          <w:szCs w:val="23"/>
          <w:lang w:val="fr-FR"/>
        </w:rPr>
        <w:t xml:space="preserve">2) Coût plus élevé : </w:t>
      </w:r>
      <w:r>
        <w:rPr>
          <w:color w:val="333333"/>
          <w:sz w:val="23"/>
          <w:szCs w:val="23"/>
          <w:lang w:val="fr-FR"/>
        </w:rPr>
        <w:t>les startups EU doivent lever plus de fonds pour le même volume de compute, ce qui allonge les cycles de levée et retarde les projets.</w:t>
      </w:r>
    </w:p>
    <w:p w14:paraId="3AC59AA2" w14:textId="77777777" w:rsidR="006B79E0" w:rsidRPr="00BD61C3" w:rsidRDefault="00000000">
      <w:pPr>
        <w:spacing w:after="180" w:line="276" w:lineRule="auto"/>
        <w:ind w:left="240"/>
        <w:jc w:val="both"/>
        <w:rPr>
          <w:lang w:val="fr-FR"/>
        </w:rPr>
      </w:pPr>
      <w:r>
        <w:rPr>
          <w:b/>
          <w:bCs/>
          <w:color w:val="333333"/>
          <w:sz w:val="23"/>
          <w:szCs w:val="23"/>
          <w:lang w:val="fr-FR"/>
        </w:rPr>
        <w:t xml:space="preserve">3) Conformité AI Act : </w:t>
      </w:r>
      <w:r>
        <w:rPr>
          <w:color w:val="333333"/>
          <w:sz w:val="23"/>
          <w:szCs w:val="23"/>
          <w:lang w:val="fr-FR"/>
        </w:rPr>
        <w:t>3-5 % de budget supplémentaire en conformité réglementaire (Accenture), qui s’empile sur le surcoût compute.</w:t>
      </w:r>
    </w:p>
    <w:p w14:paraId="49CA141D" w14:textId="77777777" w:rsidR="006B79E0" w:rsidRPr="00BD61C3" w:rsidRDefault="00000000">
      <w:pPr>
        <w:spacing w:after="180" w:line="276" w:lineRule="auto"/>
        <w:ind w:left="240"/>
        <w:jc w:val="both"/>
        <w:rPr>
          <w:lang w:val="fr-FR"/>
        </w:rPr>
      </w:pPr>
      <w:r>
        <w:rPr>
          <w:b/>
          <w:bCs/>
          <w:color w:val="333333"/>
          <w:sz w:val="23"/>
          <w:szCs w:val="23"/>
          <w:lang w:val="fr-FR"/>
        </w:rPr>
        <w:lastRenderedPageBreak/>
        <w:t>En IA, 6 mois de retard = un cycle de modèle de retard = la mort compétitive pour une startup.</w:t>
      </w:r>
      <w:r>
        <w:rPr>
          <w:color w:val="333333"/>
          <w:sz w:val="23"/>
          <w:szCs w:val="23"/>
          <w:lang w:val="fr-FR"/>
        </w:rPr>
        <w:t xml:space="preserve"> Quand GPT-5 sort en mars et que votre concurrent américain l’intègre en avril, vous ne pouvez pas attendre septembre. Le marché sera pris.</w:t>
      </w:r>
    </w:p>
    <w:p w14:paraId="68727F83" w14:textId="77777777" w:rsidR="006B79E0" w:rsidRPr="00BD61C3" w:rsidRDefault="00000000">
      <w:pPr>
        <w:rPr>
          <w:lang w:val="fr-FR"/>
        </w:rPr>
      </w:pPr>
      <w:r>
        <w:rPr>
          <w:lang w:val="fr-FR"/>
        </w:rPr>
        <w:br w:type="page"/>
      </w:r>
    </w:p>
    <w:p w14:paraId="0B92C2C6" w14:textId="77777777" w:rsidR="006B79E0" w:rsidRPr="00BD61C3" w:rsidRDefault="00000000">
      <w:pPr>
        <w:pStyle w:val="Titre1"/>
        <w:pBdr>
          <w:bottom w:val="single" w:sz="2" w:space="6" w:color="1B4F72"/>
        </w:pBdr>
        <w:spacing w:before="0"/>
        <w:rPr>
          <w:lang w:val="fr-FR"/>
        </w:rPr>
      </w:pPr>
      <w:r>
        <w:rPr>
          <w:lang w:val="fr-FR"/>
        </w:rPr>
        <w:lastRenderedPageBreak/>
        <w:t>PARTIE C — Alors on fait quoi ?</w:t>
      </w:r>
    </w:p>
    <w:p w14:paraId="1846D4EA" w14:textId="77777777" w:rsidR="006B79E0" w:rsidRPr="00BD61C3" w:rsidRDefault="00000000">
      <w:pPr>
        <w:shd w:val="clear" w:color="auto" w:fill="EBF5FB"/>
        <w:spacing w:before="400" w:after="140"/>
        <w:rPr>
          <w:lang w:val="fr-FR"/>
        </w:rPr>
      </w:pPr>
      <w:r>
        <w:rPr>
          <w:b/>
          <w:bCs/>
          <w:color w:val="C0392B"/>
          <w:lang w:val="fr-FR"/>
        </w:rPr>
        <w:t xml:space="preserve">Q9. </w:t>
      </w:r>
      <w:r>
        <w:rPr>
          <w:b/>
          <w:bCs/>
          <w:color w:val="1B4F72"/>
          <w:lang w:val="fr-FR"/>
        </w:rPr>
        <w:t>Si « payer plus » ne suffit pas et si le cloud US est un piège, quelle est la solution ?</w:t>
      </w:r>
      <w:r>
        <w:rPr>
          <w:i/>
          <w:iCs/>
          <w:color w:val="666666"/>
          <w:sz w:val="20"/>
          <w:szCs w:val="20"/>
          <w:lang w:val="fr-FR"/>
        </w:rPr>
        <w:t xml:space="preserve">  [Décideur / Politique]</w:t>
      </w:r>
    </w:p>
    <w:p w14:paraId="7062C436" w14:textId="77777777" w:rsidR="006B79E0" w:rsidRPr="00BD61C3" w:rsidRDefault="00000000">
      <w:pPr>
        <w:spacing w:after="180" w:line="276" w:lineRule="auto"/>
        <w:ind w:left="240"/>
        <w:jc w:val="both"/>
        <w:rPr>
          <w:lang w:val="fr-FR"/>
        </w:rPr>
      </w:pPr>
      <w:r>
        <w:rPr>
          <w:b/>
          <w:bCs/>
          <w:color w:val="333333"/>
          <w:sz w:val="23"/>
          <w:szCs w:val="23"/>
          <w:lang w:val="fr-FR"/>
        </w:rPr>
        <w:t>L’objectif n’est pas l’autarcie technologique mais la capacité de choix.</w:t>
      </w:r>
      <w:r>
        <w:rPr>
          <w:color w:val="333333"/>
          <w:sz w:val="23"/>
          <w:szCs w:val="23"/>
          <w:lang w:val="fr-FR"/>
        </w:rPr>
        <w:t xml:space="preserve"> Pas 0 % de cloud US, mais 30-40 % des workloads sensibles sur du cloud souverain certifié d’ici 2029. Avoir un plan B le jour où le plan A se ferme.</w:t>
      </w:r>
    </w:p>
    <w:p w14:paraId="180E3618" w14:textId="77777777" w:rsidR="006B79E0" w:rsidRPr="00BD61C3" w:rsidRDefault="00000000">
      <w:pPr>
        <w:spacing w:after="180" w:line="276" w:lineRule="auto"/>
        <w:ind w:left="240"/>
        <w:jc w:val="both"/>
        <w:rPr>
          <w:lang w:val="fr-FR"/>
        </w:rPr>
      </w:pPr>
      <w:r>
        <w:rPr>
          <w:color w:val="333333"/>
          <w:sz w:val="23"/>
          <w:szCs w:val="23"/>
          <w:lang w:val="fr-FR"/>
        </w:rPr>
        <w:t>Les cinq leviers sont détaillés au Chapitre VII :</w:t>
      </w:r>
    </w:p>
    <w:p w14:paraId="743DEE8A" w14:textId="77777777" w:rsidR="006B79E0" w:rsidRPr="00BD61C3" w:rsidRDefault="00000000">
      <w:pPr>
        <w:spacing w:after="180" w:line="276" w:lineRule="auto"/>
        <w:ind w:left="240"/>
        <w:jc w:val="both"/>
        <w:rPr>
          <w:lang w:val="fr-FR"/>
        </w:rPr>
      </w:pPr>
      <w:r>
        <w:rPr>
          <w:b/>
          <w:bCs/>
          <w:color w:val="333333"/>
          <w:sz w:val="23"/>
          <w:szCs w:val="23"/>
          <w:lang w:val="fr-FR"/>
        </w:rPr>
        <w:t xml:space="preserve">1) Special Compute Zones </w:t>
      </w:r>
      <w:r>
        <w:rPr>
          <w:color w:val="333333"/>
          <w:sz w:val="23"/>
          <w:szCs w:val="23"/>
          <w:lang w:val="fr-FR"/>
        </w:rPr>
        <w:t>avec énergie dérogée à $50-60/MWh via PPA nucléaires. C’est le levier n°1 : sans énergie compétitive, rien d’autre ne fonctionne.</w:t>
      </w:r>
    </w:p>
    <w:p w14:paraId="06F50A57" w14:textId="77777777" w:rsidR="006B79E0" w:rsidRPr="00BD61C3" w:rsidRDefault="00000000">
      <w:pPr>
        <w:spacing w:after="180" w:line="276" w:lineRule="auto"/>
        <w:ind w:left="240"/>
        <w:jc w:val="both"/>
        <w:rPr>
          <w:lang w:val="fr-FR"/>
        </w:rPr>
      </w:pPr>
      <w:r>
        <w:rPr>
          <w:b/>
          <w:bCs/>
          <w:color w:val="333333"/>
          <w:sz w:val="23"/>
          <w:szCs w:val="23"/>
          <w:lang w:val="fr-FR"/>
        </w:rPr>
        <w:t xml:space="preserve">2) Intégration nucléaire-IA : </w:t>
      </w:r>
      <w:r>
        <w:rPr>
          <w:color w:val="333333"/>
          <w:sz w:val="23"/>
          <w:szCs w:val="23"/>
          <w:lang w:val="fr-FR"/>
        </w:rPr>
        <w:t>la France a 63 GW nucléaires, EDF peut dédier 2 GW immédiatement. C’est le seul mix énergétique EU qui permet une trajectoire crédible. 250 MW d’ici fin 2026, 6 EPR 2 en construction, SMR à horizon 2030+.</w:t>
      </w:r>
    </w:p>
    <w:p w14:paraId="019A55CB" w14:textId="77777777" w:rsidR="006B79E0" w:rsidRPr="00BD61C3" w:rsidRDefault="00000000">
      <w:pPr>
        <w:spacing w:after="180" w:line="276" w:lineRule="auto"/>
        <w:ind w:left="240"/>
        <w:jc w:val="both"/>
        <w:rPr>
          <w:lang w:val="fr-FR"/>
        </w:rPr>
      </w:pPr>
      <w:r>
        <w:rPr>
          <w:b/>
          <w:bCs/>
          <w:color w:val="333333"/>
          <w:sz w:val="23"/>
          <w:szCs w:val="23"/>
          <w:lang w:val="fr-FR"/>
        </w:rPr>
        <w:t xml:space="preserve">3) Réserves stratégiques de GPU : </w:t>
      </w:r>
      <w:r>
        <w:rPr>
          <w:color w:val="333333"/>
          <w:sz w:val="23"/>
          <w:szCs w:val="23"/>
          <w:lang w:val="fr-FR"/>
        </w:rPr>
        <w:t>contrats-cadres EU avec Nvidia, AMD, Intel Foundry sur 18-36 mois. Sécuriser les volumes avant que les restrictions ne s’élargissent. Découpler l’approvisionnement EU des aléas de la politique US.</w:t>
      </w:r>
    </w:p>
    <w:p w14:paraId="18DA0A57" w14:textId="77777777" w:rsidR="006B79E0" w:rsidRPr="00BD61C3" w:rsidRDefault="00000000">
      <w:pPr>
        <w:spacing w:after="180" w:line="276" w:lineRule="auto"/>
        <w:ind w:left="240"/>
        <w:jc w:val="both"/>
        <w:rPr>
          <w:lang w:val="fr-FR"/>
        </w:rPr>
      </w:pPr>
      <w:r>
        <w:rPr>
          <w:b/>
          <w:bCs/>
          <w:color w:val="333333"/>
          <w:sz w:val="23"/>
          <w:szCs w:val="23"/>
          <w:lang w:val="fr-FR"/>
        </w:rPr>
        <w:t xml:space="preserve">4) AI Act comme levier offensif : </w:t>
      </w:r>
      <w:r>
        <w:rPr>
          <w:color w:val="333333"/>
          <w:sz w:val="23"/>
          <w:szCs w:val="23"/>
          <w:lang w:val="fr-FR"/>
        </w:rPr>
        <w:t>conditionner l’accès au marché EU à la localisation du compute. Reconnaissance mutuelle avec Japon, Corée, Singapour. CLOUD Act Shield européen.</w:t>
      </w:r>
    </w:p>
    <w:p w14:paraId="7FCB6AEB" w14:textId="77777777" w:rsidR="006B79E0" w:rsidRPr="00BD61C3" w:rsidRDefault="00000000">
      <w:pPr>
        <w:spacing w:after="180" w:line="276" w:lineRule="auto"/>
        <w:ind w:left="240"/>
        <w:jc w:val="both"/>
        <w:rPr>
          <w:lang w:val="fr-FR"/>
        </w:rPr>
      </w:pPr>
      <w:r>
        <w:rPr>
          <w:b/>
          <w:bCs/>
          <w:color w:val="333333"/>
          <w:sz w:val="23"/>
          <w:szCs w:val="23"/>
          <w:lang w:val="fr-FR"/>
        </w:rPr>
        <w:t xml:space="preserve">5) Modèle Mistral (analogie Airbus) : </w:t>
      </w:r>
      <w:r>
        <w:rPr>
          <w:color w:val="333333"/>
          <w:sz w:val="23"/>
          <w:szCs w:val="23"/>
          <w:lang w:val="fr-FR"/>
        </w:rPr>
        <w:t>pas remplacer OpenAI, mais construire une alternative crédible. ASML a investi 1,3 Md€ (11 % du capital) — le signal industriel est là. La question n’est pas « Mistral peut-il battre OpenAI ? » mais « l’Europe peut-elle se passer de Mistral ? » La réponse est non.</w:t>
      </w:r>
    </w:p>
    <w:p w14:paraId="39D1B15F" w14:textId="77777777" w:rsidR="006B79E0" w:rsidRPr="00BD61C3" w:rsidRDefault="00000000">
      <w:pPr>
        <w:shd w:val="clear" w:color="auto" w:fill="EBF5FB"/>
        <w:spacing w:before="400" w:after="140"/>
        <w:rPr>
          <w:lang w:val="fr-FR"/>
        </w:rPr>
      </w:pPr>
      <w:r>
        <w:rPr>
          <w:b/>
          <w:bCs/>
          <w:color w:val="C0392B"/>
          <w:lang w:val="fr-FR"/>
        </w:rPr>
        <w:t xml:space="preserve">Q10. </w:t>
      </w:r>
      <w:r>
        <w:rPr>
          <w:b/>
          <w:bCs/>
          <w:color w:val="1B4F72"/>
          <w:lang w:val="fr-FR"/>
        </w:rPr>
        <w:t>En une phrase, pourquoi ce ratio de 3.47:1 est-il un problème existentiel et pas juste un retard rattrapable ?</w:t>
      </w:r>
      <w:r>
        <w:rPr>
          <w:i/>
          <w:iCs/>
          <w:color w:val="666666"/>
          <w:sz w:val="20"/>
          <w:szCs w:val="20"/>
          <w:lang w:val="fr-FR"/>
        </w:rPr>
        <w:t xml:space="preserve">  [Grand public]</w:t>
      </w:r>
    </w:p>
    <w:p w14:paraId="3C8E4C46" w14:textId="77777777" w:rsidR="006B79E0" w:rsidRPr="00BD61C3" w:rsidRDefault="00000000">
      <w:pPr>
        <w:spacing w:after="180" w:line="276" w:lineRule="auto"/>
        <w:ind w:left="240"/>
        <w:jc w:val="both"/>
        <w:rPr>
          <w:lang w:val="fr-FR"/>
        </w:rPr>
      </w:pPr>
      <w:r>
        <w:rPr>
          <w:b/>
          <w:bCs/>
          <w:color w:val="333333"/>
          <w:sz w:val="23"/>
          <w:szCs w:val="23"/>
          <w:lang w:val="fr-FR"/>
        </w:rPr>
        <w:t>Parce que le compute produit des effets d’agglomération auto-renforçants.</w:t>
      </w:r>
      <w:r>
        <w:rPr>
          <w:color w:val="333333"/>
          <w:sz w:val="23"/>
          <w:szCs w:val="23"/>
          <w:lang w:val="fr-FR"/>
        </w:rPr>
        <w:t xml:space="preserve"> Plus vous avez de compute, plus les talents viennent, plus les investisseurs viennent, plus le compute augmente. C’est un cercle vertueux pour les US et un cercle vicieux pour l’EU. Chaque année d’inaction élargit le ratio au lieu de le réduire.</w:t>
      </w:r>
    </w:p>
    <w:p w14:paraId="3A10ED33" w14:textId="77777777" w:rsidR="006B79E0" w:rsidRPr="00BD61C3" w:rsidRDefault="00000000">
      <w:pPr>
        <w:spacing w:after="180" w:line="276" w:lineRule="auto"/>
        <w:ind w:left="240"/>
        <w:jc w:val="both"/>
        <w:rPr>
          <w:lang w:val="fr-FR"/>
        </w:rPr>
      </w:pPr>
      <w:r>
        <w:rPr>
          <w:b/>
          <w:bCs/>
          <w:color w:val="333333"/>
          <w:sz w:val="23"/>
          <w:szCs w:val="23"/>
          <w:lang w:val="fr-FR"/>
        </w:rPr>
        <w:t>C’est pourquoi la fenêtre 2026-2028 est critique.</w:t>
      </w:r>
      <w:r>
        <w:rPr>
          <w:color w:val="333333"/>
          <w:sz w:val="23"/>
          <w:szCs w:val="23"/>
          <w:lang w:val="fr-FR"/>
        </w:rPr>
        <w:t xml:space="preserve"> Après 2028, les positions seront consolidées : les AI Gigafactories US seront opérationnelles, les écosystèmes cloud figés, les talents installés. Le Scénario D (« Réponse EU massive ») est encore possible aujourd’hui. Il ne le sera plus en 2030.</w:t>
      </w:r>
    </w:p>
    <w:p w14:paraId="36689A37" w14:textId="77777777" w:rsidR="006B79E0" w:rsidRPr="00BD61C3" w:rsidRDefault="00000000">
      <w:pPr>
        <w:spacing w:after="180" w:line="276" w:lineRule="auto"/>
        <w:ind w:left="240"/>
        <w:jc w:val="both"/>
        <w:rPr>
          <w:lang w:val="fr-FR"/>
        </w:rPr>
      </w:pPr>
      <w:r>
        <w:rPr>
          <w:color w:val="333333"/>
          <w:sz w:val="23"/>
          <w:szCs w:val="23"/>
          <w:lang w:val="fr-FR"/>
        </w:rPr>
        <w:t>Le ratio 3.47:1 n’est pas un retard temporaire : c’est une divergence structurelle qui, sans intervention, devient irréversible. C’est la différence entre « on est en retard » et « on a perdu la capacité de rattraper ».</w:t>
      </w:r>
    </w:p>
    <w:p w14:paraId="65F0FDE7" w14:textId="77777777" w:rsidR="006B79E0" w:rsidRPr="00BD61C3" w:rsidRDefault="00000000">
      <w:pPr>
        <w:pBdr>
          <w:left w:val="single" w:sz="6" w:space="8" w:color="D4AC0D"/>
        </w:pBdr>
        <w:shd w:val="clear" w:color="auto" w:fill="FEF9E7"/>
        <w:spacing w:before="100" w:after="200" w:line="276" w:lineRule="auto"/>
        <w:ind w:left="360" w:right="360"/>
        <w:jc w:val="both"/>
        <w:rPr>
          <w:lang w:val="fr-FR"/>
        </w:rPr>
      </w:pPr>
      <w:r>
        <w:rPr>
          <w:b/>
          <w:bCs/>
          <w:color w:val="1B4F72"/>
          <w:sz w:val="22"/>
          <w:szCs w:val="22"/>
          <w:lang w:val="fr-FR"/>
        </w:rPr>
        <w:lastRenderedPageBreak/>
        <w:t>« La question n’est plus de savoir si la recomposition de l’ordre technologique mondial aura lieu — elle est en cours — mais si nous en serons les architectes ou les sujets. »</w:t>
      </w:r>
    </w:p>
    <w:p w14:paraId="69498386" w14:textId="77777777" w:rsidR="006B79E0" w:rsidRDefault="00000000">
      <w:pPr>
        <w:spacing w:after="200" w:line="276" w:lineRule="auto"/>
        <w:jc w:val="right"/>
      </w:pPr>
      <w:r>
        <w:rPr>
          <w:i/>
          <w:iCs/>
          <w:color w:val="666666"/>
          <w:sz w:val="20"/>
          <w:szCs w:val="20"/>
        </w:rPr>
        <w:t>— Fabrice Pizzi, AI for Americans First, 2026</w:t>
      </w:r>
    </w:p>
    <w:p w14:paraId="44478824" w14:textId="77777777" w:rsidR="006B79E0" w:rsidRDefault="00000000">
      <w:pPr>
        <w:spacing w:after="200" w:line="276" w:lineRule="auto"/>
        <w:jc w:val="both"/>
      </w:pPr>
      <w:r>
        <w:rPr>
          <w:color w:val="1B1B1B"/>
          <w:sz w:val="12"/>
          <w:szCs w:val="12"/>
        </w:rPr>
        <w:t xml:space="preserve"> </w:t>
      </w:r>
    </w:p>
    <w:p w14:paraId="073EAC77" w14:textId="77777777" w:rsidR="006B79E0" w:rsidRPr="00BD61C3" w:rsidRDefault="00000000">
      <w:pPr>
        <w:pBdr>
          <w:top w:val="single" w:sz="2" w:space="10" w:color="D4AC0D"/>
        </w:pBdr>
        <w:spacing w:before="300"/>
        <w:jc w:val="center"/>
        <w:rPr>
          <w:lang w:val="fr-FR"/>
        </w:rPr>
      </w:pPr>
      <w:r>
        <w:rPr>
          <w:b/>
          <w:bCs/>
          <w:color w:val="666666"/>
          <w:sz w:val="22"/>
          <w:szCs w:val="22"/>
          <w:lang w:val="fr-FR"/>
        </w:rPr>
        <w:t>— FIN DU VOLUME 3 —</w:t>
      </w:r>
    </w:p>
    <w:p w14:paraId="0A6B0D7A" w14:textId="77777777" w:rsidR="006B79E0" w:rsidRPr="00BD61C3" w:rsidRDefault="00000000">
      <w:pPr>
        <w:spacing w:after="100" w:line="276" w:lineRule="auto"/>
        <w:jc w:val="both"/>
        <w:rPr>
          <w:lang w:val="fr-FR"/>
        </w:rPr>
      </w:pPr>
      <w:r>
        <w:rPr>
          <w:color w:val="1B1B1B"/>
          <w:sz w:val="12"/>
          <w:szCs w:val="12"/>
          <w:lang w:val="fr-FR"/>
        </w:rPr>
        <w:t xml:space="preserve"> </w:t>
      </w:r>
    </w:p>
    <w:p w14:paraId="47F0B64B" w14:textId="77777777" w:rsidR="006B79E0" w:rsidRPr="00BD61C3" w:rsidRDefault="00000000">
      <w:pPr>
        <w:spacing w:after="200" w:line="276" w:lineRule="auto"/>
        <w:jc w:val="both"/>
        <w:rPr>
          <w:lang w:val="fr-FR"/>
        </w:rPr>
      </w:pPr>
      <w:r>
        <w:rPr>
          <w:i/>
          <w:iCs/>
          <w:color w:val="666666"/>
          <w:sz w:val="20"/>
          <w:szCs w:val="20"/>
          <w:lang w:val="fr-FR"/>
        </w:rPr>
        <w:t>Ce document peut être lu indépendamment des Volumes 1 (thèse, CACI, méthodologie, scénarios, limites) et 2 (25 questions techniques, géopolitiques, opérationnelles).</w:t>
      </w:r>
    </w:p>
    <w:p w14:paraId="788E4531" w14:textId="77777777" w:rsidR="006B79E0" w:rsidRDefault="00000000">
      <w:pPr>
        <w:spacing w:after="200" w:line="276" w:lineRule="auto"/>
        <w:jc w:val="both"/>
      </w:pPr>
      <w:r>
        <w:rPr>
          <w:b/>
          <w:bCs/>
          <w:color w:val="666666"/>
          <w:sz w:val="20"/>
          <w:szCs w:val="20"/>
        </w:rPr>
        <w:t xml:space="preserve">Repository : </w:t>
      </w:r>
      <w:r>
        <w:rPr>
          <w:color w:val="2E86C1"/>
          <w:sz w:val="20"/>
          <w:szCs w:val="20"/>
        </w:rPr>
        <w:t>https://mo0ogly.github.io/America-First-IA/</w:t>
      </w:r>
    </w:p>
    <w:sectPr w:rsidR="006B79E0">
      <w:footerReference w:type="even" r:id="rId6"/>
      <w:footerReference w:type="default" r:id="rId7"/>
      <w:footerReference w:type="first" r:id="rId8"/>
      <w:pgSz w:w="11906" w:h="16838"/>
      <w:pgMar w:top="1440" w:right="1300" w:bottom="1440" w:left="1300" w:header="0"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5A3F20" w14:textId="77777777" w:rsidR="004311CA" w:rsidRDefault="004311CA">
      <w:r>
        <w:separator/>
      </w:r>
    </w:p>
  </w:endnote>
  <w:endnote w:type="continuationSeparator" w:id="0">
    <w:p w14:paraId="029DB7D4" w14:textId="77777777" w:rsidR="004311CA" w:rsidRDefault="004311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9F1E4" w14:textId="77777777" w:rsidR="006B79E0" w:rsidRDefault="006B79E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5A4B0" w14:textId="77777777" w:rsidR="006B79E0" w:rsidRDefault="00000000">
    <w:pPr>
      <w:jc w:val="center"/>
    </w:pPr>
    <w:r>
      <w:rPr>
        <w:color w:val="666666"/>
        <w:sz w:val="18"/>
        <w:szCs w:val="18"/>
      </w:rPr>
      <w:t xml:space="preserve">AI for Americans First — FAQ Volume 3 — p. </w:t>
    </w:r>
    <w:r>
      <w:rPr>
        <w:color w:val="2E86C1"/>
        <w:sz w:val="20"/>
        <w:szCs w:val="20"/>
      </w:rPr>
      <w:fldChar w:fldCharType="begin"/>
    </w:r>
    <w:r>
      <w:rPr>
        <w:color w:val="2E86C1"/>
        <w:sz w:val="20"/>
        <w:szCs w:val="20"/>
      </w:rPr>
      <w:instrText xml:space="preserve"> PAGE </w:instrText>
    </w:r>
    <w:r>
      <w:rPr>
        <w:color w:val="2E86C1"/>
        <w:sz w:val="20"/>
        <w:szCs w:val="20"/>
      </w:rPr>
      <w:fldChar w:fldCharType="separate"/>
    </w:r>
    <w:r>
      <w:rPr>
        <w:color w:val="2E86C1"/>
        <w:sz w:val="20"/>
        <w:szCs w:val="20"/>
      </w:rPr>
      <w:t>8</w:t>
    </w:r>
    <w:r>
      <w:rPr>
        <w:color w:val="2E86C1"/>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418E1" w14:textId="77777777" w:rsidR="006B79E0" w:rsidRDefault="00000000">
    <w:pPr>
      <w:jc w:val="center"/>
    </w:pPr>
    <w:r>
      <w:rPr>
        <w:color w:val="666666"/>
        <w:sz w:val="18"/>
        <w:szCs w:val="18"/>
      </w:rPr>
      <w:t xml:space="preserve">AI for Americans First — FAQ Volume 3 — p. </w:t>
    </w:r>
    <w:r>
      <w:rPr>
        <w:color w:val="2E86C1"/>
        <w:sz w:val="20"/>
        <w:szCs w:val="20"/>
      </w:rPr>
      <w:fldChar w:fldCharType="begin"/>
    </w:r>
    <w:r>
      <w:rPr>
        <w:color w:val="2E86C1"/>
        <w:sz w:val="20"/>
        <w:szCs w:val="20"/>
      </w:rPr>
      <w:instrText xml:space="preserve"> PAGE </w:instrText>
    </w:r>
    <w:r>
      <w:rPr>
        <w:color w:val="2E86C1"/>
        <w:sz w:val="20"/>
        <w:szCs w:val="20"/>
      </w:rPr>
      <w:fldChar w:fldCharType="separate"/>
    </w:r>
    <w:r>
      <w:rPr>
        <w:color w:val="2E86C1"/>
        <w:sz w:val="20"/>
        <w:szCs w:val="20"/>
      </w:rPr>
      <w:t>8</w:t>
    </w:r>
    <w:r>
      <w:rPr>
        <w:color w:val="2E86C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B74243" w14:textId="77777777" w:rsidR="004311CA" w:rsidRDefault="004311CA">
      <w:r>
        <w:separator/>
      </w:r>
    </w:p>
  </w:footnote>
  <w:footnote w:type="continuationSeparator" w:id="0">
    <w:p w14:paraId="3175C5F8" w14:textId="77777777" w:rsidR="004311CA" w:rsidRDefault="004311C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9E0"/>
    <w:rsid w:val="00080432"/>
    <w:rsid w:val="004311CA"/>
    <w:rsid w:val="006B79E0"/>
    <w:rsid w:val="00BD61C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C8523"/>
  <w15:docId w15:val="{EC6CEE58-3D74-43F0-A18D-1E02BFF4F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Heading"/>
    <w:uiPriority w:val="9"/>
    <w:qFormat/>
    <w:pPr>
      <w:spacing w:before="480" w:after="240"/>
      <w:outlineLvl w:val="0"/>
    </w:pPr>
    <w:rPr>
      <w:rFonts w:ascii="Arial" w:eastAsia="Arial" w:hAnsi="Arial" w:cs="Arial"/>
      <w:b/>
      <w:bCs/>
      <w:color w:val="1B4F72"/>
      <w:sz w:val="30"/>
      <w:szCs w:val="30"/>
    </w:rPr>
  </w:style>
  <w:style w:type="paragraph" w:styleId="Titre2">
    <w:name w:val="heading 2"/>
    <w:basedOn w:val="Heading"/>
    <w:uiPriority w:val="9"/>
    <w:unhideWhenUsed/>
    <w:qFormat/>
    <w:pPr>
      <w:spacing w:before="300" w:after="200"/>
      <w:outlineLvl w:val="1"/>
    </w:pPr>
    <w:rPr>
      <w:rFonts w:ascii="Arial" w:eastAsia="Arial" w:hAnsi="Arial" w:cs="Arial"/>
      <w:b/>
      <w:bCs/>
      <w:color w:val="1B4F72"/>
      <w:sz w:val="26"/>
      <w:szCs w:val="26"/>
    </w:rPr>
  </w:style>
  <w:style w:type="paragraph" w:styleId="Titre3">
    <w:name w:val="heading 3"/>
    <w:basedOn w:val="Heading"/>
    <w:uiPriority w:val="9"/>
    <w:semiHidden/>
    <w:unhideWhenUsed/>
    <w:qFormat/>
    <w:pPr>
      <w:outlineLvl w:val="2"/>
    </w:pPr>
    <w:rPr>
      <w:color w:val="1F4D78"/>
      <w:sz w:val="24"/>
      <w:szCs w:val="24"/>
    </w:rPr>
  </w:style>
  <w:style w:type="paragraph" w:styleId="Titre4">
    <w:name w:val="heading 4"/>
    <w:basedOn w:val="Heading"/>
    <w:uiPriority w:val="9"/>
    <w:semiHidden/>
    <w:unhideWhenUsed/>
    <w:qFormat/>
    <w:pPr>
      <w:outlineLvl w:val="3"/>
    </w:pPr>
    <w:rPr>
      <w:i/>
      <w:iCs/>
      <w:color w:val="2E74B5"/>
    </w:rPr>
  </w:style>
  <w:style w:type="paragraph" w:styleId="Titre5">
    <w:name w:val="heading 5"/>
    <w:basedOn w:val="Heading"/>
    <w:uiPriority w:val="9"/>
    <w:semiHidden/>
    <w:unhideWhenUsed/>
    <w:qFormat/>
    <w:pPr>
      <w:outlineLvl w:val="4"/>
    </w:pPr>
    <w:rPr>
      <w:color w:val="2E74B5"/>
    </w:rPr>
  </w:style>
  <w:style w:type="paragraph" w:styleId="Titre6">
    <w:name w:val="heading 6"/>
    <w:basedOn w:val="Heading"/>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Appelnotedebasdep">
    <w:name w:val="footnote reference"/>
    <w:rPr>
      <w:vertAlign w:val="superscript"/>
    </w:rPr>
  </w:style>
  <w:style w:type="character" w:customStyle="1" w:styleId="NotedebasdepageCar">
    <w:name w:val="Note de bas de page Car"/>
    <w:link w:val="Notedebasdepage"/>
    <w:uiPriority w:val="99"/>
    <w:semiHidden/>
    <w:unhideWhenUsed/>
    <w:qFormat/>
    <w:rPr>
      <w:sz w:val="20"/>
      <w:szCs w:val="20"/>
    </w:rPr>
  </w:style>
  <w:style w:type="paragraph" w:customStyle="1" w:styleId="Heading">
    <w:name w:val="Heading"/>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Titre">
    <w:name w:val="Title"/>
    <w:basedOn w:val="Heading"/>
    <w:uiPriority w:val="10"/>
    <w:qFormat/>
    <w:rPr>
      <w:sz w:val="56"/>
      <w:szCs w:val="56"/>
    </w:rPr>
  </w:style>
  <w:style w:type="paragraph" w:customStyle="1" w:styleId="StrongEmphasis">
    <w:name w:val="Strong Emphasis"/>
    <w:qFormat/>
    <w:rPr>
      <w:b/>
      <w:bCs/>
    </w:rPr>
  </w:style>
  <w:style w:type="paragraph" w:styleId="Paragraphedeliste">
    <w:name w:val="List Paragraph"/>
    <w:qFormat/>
  </w:style>
  <w:style w:type="paragraph" w:styleId="Notedebasdepage">
    <w:name w:val="footnote text"/>
    <w:basedOn w:val="Normal"/>
    <w:link w:val="NotedebasdepageCar"/>
    <w:uiPriority w:val="99"/>
    <w:semiHidden/>
    <w:unhideWhenUsed/>
    <w:rPr>
      <w:sz w:val="20"/>
      <w:szCs w:val="20"/>
    </w:rPr>
  </w:style>
  <w:style w:type="paragraph" w:customStyle="1" w:styleId="HeaderandFooter">
    <w:name w:val="Header and Footer"/>
    <w:basedOn w:val="Normal"/>
    <w:qFormat/>
  </w:style>
  <w:style w:type="paragraph" w:styleId="Pieddepage">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2226</Words>
  <Characters>12244</Characters>
  <Application>Microsoft Office Word</Application>
  <DocSecurity>0</DocSecurity>
  <Lines>102</Lines>
  <Paragraphs>28</Paragraphs>
  <ScaleCrop>false</ScaleCrop>
  <Company/>
  <LinksUpToDate>false</LinksUpToDate>
  <CharactersWithSpaces>14442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fabrice pizzi</cp:lastModifiedBy>
  <cp:revision>2</cp:revision>
  <dcterms:created xsi:type="dcterms:W3CDTF">2026-02-24T20:03:00Z</dcterms:created>
  <dcterms:modified xsi:type="dcterms:W3CDTF">2026-02-26T09:31:00Z</dcterms:modified>
  <dc:language>en-US</dc:language>
</cp:coreProperties>
</file>