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ETUDE DE RECHERCHE - FEVRIER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Protectionnisme IA, Energie et Semi-conducteurs : Trajectoires de divergence US/Europe 2024-2030</w:t>
      </w:r>
    </w:p>
    <w:p>
      <w:pPr>
        <w:spacing w:after="360"/>
        <w:jc w:val="center"/>
      </w:pPr>
      <w:r>
        <w:rPr>
          <w:rFonts w:ascii="Calibri" w:hAnsi="Calibri"/>
          <w:b w:val="0"/>
          <w:i/>
          <w:color w:val="555555"/>
          <w:sz w:val="22"/>
        </w:rPr>
        <w:t>Analyse geostrategique et economique integree - Chapitre III</w:t>
      </w:r>
    </w:p>
    <w:tbl>
      <w:tblPr>
        <w:tblW w:type="auto" w:w="0"/>
        <w:tblLayout w:type="autofit"/>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78,9 pct du compute IA operationnel mondial = USA</w:t>
            </w:r>
          </w:p>
        </w:tc>
        <w:tc>
          <w:tcPr>
            <w:tcW w:type="dxa" w:w="3249"/>
          </w:tcPr>
          <w:p>
            <w:pPr>
              <w:jc w:val="center"/>
            </w:pPr>
            <w:r/>
            <w:r>
              <w:rPr>
                <w:rFonts w:ascii="Calibri" w:hAnsi="Calibri"/>
                <w:b/>
                <w:i w:val="0"/>
                <w:color w:val="1A2744"/>
                <w:sz w:val="22"/>
              </w:rPr>
              <w:t>1,59x cout energie EU/US</w:t>
            </w:r>
          </w:p>
        </w:tc>
        <w:tc>
          <w:tcPr>
            <w:tcW w:type="dxa" w:w="3249"/>
          </w:tcPr>
          <w:p>
            <w:pPr>
              <w:jc w:val="center"/>
            </w:pPr>
            <w:r/>
            <w:r>
              <w:rPr>
                <w:rFonts w:ascii="Calibri" w:hAnsi="Calibri"/>
                <w:b/>
                <w:i w:val="0"/>
                <w:color w:val="1A2744"/>
                <w:sz w:val="22"/>
              </w:rPr>
              <w:t>3,47:1 ratio CACI US/EU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Master 2 Intelligence Economique - Intelligence Warfare</w:t>
      </w:r>
    </w:p>
    <w:p>
      <w:pPr>
        <w:spacing w:after="200"/>
        <w:jc w:val="center"/>
      </w:pPr>
      <w:r>
        <w:rPr>
          <w:rFonts w:ascii="Calibri" w:hAnsi="Calibri"/>
          <w:b w:val="0"/>
          <w:i/>
          <w:color w:val="555555"/>
          <w:sz w:val="20"/>
        </w:rPr>
        <w:t>Paris - fevrier 2026  |  7 chapitres  |  4 scenarios prospectifs  |  3 zones geographiques</w:t>
      </w:r>
    </w:p>
    <w:p>
      <w:pPr>
        <w:spacing w:after="480"/>
        <w:jc w:val="center"/>
      </w:pPr>
      <w:r>
        <w:rPr>
          <w:rFonts w:ascii="Calibri" w:hAnsi="Calibri"/>
          <w:b w:val="0"/>
          <w:i/>
          <w:color w:val="555555"/>
          <w:sz w:val="18"/>
        </w:rPr>
        <w:t>Mots-cles: intelligence artificielle, protectionnisme technologique, semi-conducteurs, controles a l'exportation, compute souverain, geopolitique IA, France, Etats-Unis, Chine</w:t>
      </w:r>
    </w:p>
    <w:p>
      <w:pPr>
        <w:spacing w:after="40"/>
        <w:jc w:val="center"/>
      </w:pPr>
      <w:r>
        <w:rPr>
          <w:rFonts w:ascii="Calibri" w:hAnsi="Calibri"/>
          <w:b/>
          <w:i w:val="0"/>
          <w:color w:val="B8922F"/>
          <w:sz w:val="22"/>
        </w:rPr>
        <w:t>CHAPITRE III</w:t>
      </w:r>
    </w:p>
    <w:p>
      <w:pPr>
        <w:spacing w:after="240"/>
        <w:jc w:val="center"/>
      </w:pPr>
      <w:r>
        <w:rPr>
          <w:rFonts w:ascii="Calibri" w:hAnsi="Calibri"/>
          <w:b/>
          <w:i w:val="0"/>
          <w:color w:val="1A2744"/>
          <w:sz w:val="36"/>
        </w:rPr>
        <w:t>Diagnostic empirique 2020-2026</w:t>
      </w:r>
    </w:p>
    <w:p>
      <w:pPr>
        <w:spacing w:after="200" w:line="300" w:lineRule="auto"/>
      </w:pPr>
      <w:r>
        <w:rPr>
          <w:rFonts w:ascii="Calibri" w:hAnsi="Calibri"/>
          <w:b w:val="0"/>
          <w:i/>
          <w:color w:val="555555"/>
          <w:sz w:val="22"/>
        </w:rPr>
        <w:t>Ce chapitre etablit la base factuelle de l'analyse. Il couvre quatre dimensions interdependantes : la trajectoire energetique des centres de donnees, l'evolution du marche des semi-conducteurs, la repartition geographique du compute IA installe et la chronologie des mesures reglementaires americaines. Les donnees presentees ici constituent les elements predetermines (au sens de Schwartz) qui structurent les scenarios prospectifs du chapitre V. Toutes les series temporelles sont sourcees, et lorsque les sources divergent, l'ecart est explicite. Tous les ratios impliquant le compute ont ete recalibres sur le snapshot d'avril 2026 du tableau de bord public.</w:t>
      </w:r>
    </w:p>
    <w:p>
      <w:pPr>
        <w:spacing w:before="280" w:after="120"/>
      </w:pPr>
      <w:r>
        <w:rPr>
          <w:rFonts w:ascii="Calibri" w:hAnsi="Calibri"/>
          <w:b/>
          <w:i w:val="0"/>
          <w:color w:val="1A2744"/>
          <w:sz w:val="32"/>
        </w:rPr>
        <w:t>3.1 Trajectoire energetique des centres de donnees : doublement de la demande en six ans</w:t>
      </w:r>
    </w:p>
    <w:p>
      <w:pPr>
        <w:spacing w:before="160" w:after="120"/>
      </w:pPr>
      <w:r>
        <w:rPr>
          <w:rFonts w:ascii="Calibri" w:hAnsi="Calibri"/>
          <w:b/>
          <w:i w:val="0"/>
          <w:color w:val="1A2744"/>
          <w:sz w:val="26"/>
        </w:rPr>
        <w:t>3.1.1 Consommation mondiale 2020-2024</w:t>
      </w:r>
    </w:p>
    <w:p>
      <w:pPr>
        <w:spacing w:after="120" w:line="300" w:lineRule="auto"/>
      </w:pPr>
      <w:r>
        <w:rPr>
          <w:rFonts w:ascii="Calibri" w:hAnsi="Calibri"/>
          <w:b w:val="0"/>
          <w:i w:val="0"/>
          <w:color w:val="202020"/>
          <w:sz w:val="22"/>
        </w:rPr>
        <w:t>L'Agence internationale de l'energie (AIE, avril 2025) estime la consommation electrique mondiale des centres de donnees a environ 415 TWh en 2024, soit 1,5 pour cent de la consommation electrique mondiale.[1] Cette consommation a cru en moyenne de 12 pour cent par an depuis 2017, soit un rythme quatre fois superieur a la croissance totale de la consommation d'electricite. En 2020, elle etait d'environ 270 TWh ; l'augmentation represente donc +54 pour cent en quatre ans.</w:t>
      </w:r>
    </w:p>
    <w:p>
      <w:pPr>
        <w:spacing w:after="120" w:line="300" w:lineRule="auto"/>
      </w:pPr>
      <w:r>
        <w:rPr>
          <w:rFonts w:ascii="Calibri" w:hAnsi="Calibri"/>
          <w:b w:val="0"/>
          <w:i w:val="0"/>
          <w:color w:val="202020"/>
          <w:sz w:val="22"/>
        </w:rPr>
        <w:t>La distribution geographique est tres concentree. Les Etats-Unis absorbent 45 pour cent de la consommation mondiale des centres de donnees (environ 180 TWh en 2024), suivis de la Chine (25 pour cent, ~102 TWh) et de l'Europe (15 pour cent, ~70 TWh pour l'UE selon la Commission europeenne).[2] Les quatre principaux pays europeens (Allemagne, France, Royaume-Uni, Pays-Bas) totalisent environ 41 TWh, soit 10 pour cent du total mondial. La capacite mondiale installee de centres de donnees a atteint pres de 100 GW en 2024. Pres de la moitie de la capacite americaine est concentree dans cinq clusters regionaux.</w:t>
      </w:r>
    </w:p>
    <w:p>
      <w:pPr>
        <w:spacing w:before="160" w:after="120"/>
      </w:pPr>
      <w:r>
        <w:rPr>
          <w:rFonts w:ascii="Calibri" w:hAnsi="Calibri"/>
          <w:b/>
          <w:i w:val="0"/>
          <w:color w:val="1A2744"/>
          <w:sz w:val="26"/>
        </w:rPr>
        <w:t>3.1.2 Projections 2024-2030 : le scenario central de l'AIE</w:t>
      </w:r>
    </w:p>
    <w:p>
      <w:pPr>
        <w:spacing w:after="120" w:line="300" w:lineRule="auto"/>
      </w:pPr>
      <w:r>
        <w:rPr>
          <w:rFonts w:ascii="Calibri" w:hAnsi="Calibri"/>
          <w:b w:val="0"/>
          <w:i w:val="0"/>
          <w:color w:val="202020"/>
          <w:sz w:val="22"/>
        </w:rPr>
        <w:t>Le scenario central de l'AIE (Base Case) projette une consommation mondiale de 945 TWh d'ici 2030, soit un doublement par rapport a 2024 et l'equivalent de la consommation electrique actuelle du Japon. L'IA est identifiee comme le principal moteur de cette croissance. La part de l'IA dans la consommation des centres de donnees, estimee a 5 a 15 pour cent ces dernieres annees, pourrait atteindre 35 a 50 pour cent d'ici 2030.[3]</w:t>
      </w:r>
    </w:p>
    <w:p>
      <w:pPr>
        <w:spacing w:after="120" w:line="300" w:lineRule="auto"/>
      </w:pPr>
      <w:r>
        <w:rPr>
          <w:rFonts w:ascii="Calibri" w:hAnsi="Calibri"/>
          <w:b w:val="0"/>
          <w:i w:val="0"/>
          <w:color w:val="202020"/>
          <w:sz w:val="22"/>
        </w:rPr>
        <w:t>La croissance est geographiquement inegale. Les Etats-Unis ajoutent environ +240 TWh (+130 pour cent par rapport a 2024), la Chine +175 TWh (+170 pour cent), et l'Europe seulement +45 TWh (+70 pour cent). L'AIE note un risque de 20 pour cent de retard des projets en Europe, lie aux contraintes de raccordement au reseau et aux delais d'autorisation.[4] Aux Etats-Unis, les centres de donnees representeront pres de la moitie de la croissance de la demande electrique d'ici 2030 ; le pays consommera plus d'electricite pour ses centres de donnees que pour la production combinee d'aluminium, d'acier, de ciment et de produits chimiques.</w:t>
      </w:r>
    </w:p>
    <w:p>
      <w:pPr>
        <w:spacing w:before="160" w:after="120"/>
      </w:pPr>
      <w:r>
        <w:rPr>
          <w:rFonts w:ascii="Calibri" w:hAnsi="Calibri"/>
          <w:b/>
          <w:i w:val="0"/>
          <w:color w:val="1A2744"/>
          <w:sz w:val="26"/>
        </w:rPr>
        <w:t>3.1.3 Le facteur energetique comme avantage competitif</w:t>
      </w:r>
    </w:p>
    <w:p>
      <w:pPr>
        <w:spacing w:after="120" w:line="300" w:lineRule="auto"/>
      </w:pPr>
      <w:r>
        <w:rPr>
          <w:rFonts w:ascii="Calibri" w:hAnsi="Calibri"/>
          <w:b w:val="0"/>
          <w:i w:val="0"/>
          <w:color w:val="202020"/>
          <w:sz w:val="22"/>
        </w:rPr>
        <w:t>L'asymetrie energetique constitue un avantage structurel pour les Etats-Unis. L'AIE note que le gaz naturel fournit actuellement 40 pour cent de l'electricite des centres de donnees americains, les renouvelables 24 pour cent, le nucleaire 20 pour cent et le charbon 15 pour cent. En Europe, le mix energetique est davantage contraint par les objectifs climatiques et des couts energetiques plus eleves. Les prix de l'electricite industrielle sont typiquement 2 a 3 fois plus eleves en Europe qu'aux Etats-Unis sur le tarif Eurostat non ajuste. Une fois pris en compte les Power Purchase Agreements negocies par les hyperscalers, l'ecart se reduit a environ 1,4 a 1,7 fois (1,59x pour l'agregat UE a la reference du tableau de bord d'avril 2026 : 135 USD/MWh dans l'UE contre 85 USD/MWh aux Etats-Unis). Comme le documente la Federal Reserve Board (octobre 2025), il existe une correlation negative significative entre couts energetiques et adoption de l'IA au niveau des entreprises europeennes, meme apres correction PPA.[5]</w:t>
      </w:r>
    </w:p>
    <w:p>
      <w:pPr>
        <w:spacing w:after="120" w:line="300" w:lineRule="auto"/>
      </w:pPr>
      <w:r>
        <w:rPr>
          <w:rFonts w:ascii="Calibri" w:hAnsi="Calibri"/>
          <w:b w:val="0"/>
          <w:i w:val="0"/>
          <w:color w:val="202020"/>
          <w:sz w:val="22"/>
        </w:rPr>
        <w:t>La France dispose toutefois d'un atout specifique dans ce contexte : son mix electrique nucleaire (environ 65 a 70 pour cent de la production), qui offre une electricite relativement bon marche, decarbonee et disponible en base. RTE estime un besoin supplementaire de +10 GW pour les centres de donnees en France d'ici 2030, qui reste compatible avec la capacite installee sous reserve d'investissements dans le reseau de transport.</w:t>
      </w:r>
    </w:p>
    <w:p>
      <w:pPr>
        <w:spacing w:before="160" w:after="120"/>
      </w:pPr>
      <w:r>
        <w:rPr>
          <w:rFonts w:ascii="Calibri" w:hAnsi="Calibri"/>
          <w:b/>
          <w:i w:val="0"/>
          <w:color w:val="1A2744"/>
          <w:sz w:val="26"/>
        </w:rPr>
        <w:t>3.1.4 Effet amplificateur : robotique IA et demande energetique industrielle</w:t>
      </w:r>
    </w:p>
    <w:p>
      <w:pPr>
        <w:spacing w:after="120" w:line="300" w:lineRule="auto"/>
      </w:pPr>
      <w:r>
        <w:rPr>
          <w:rFonts w:ascii="Calibri" w:hAnsi="Calibri"/>
          <w:b w:val="0"/>
          <w:i w:val="0"/>
          <w:color w:val="202020"/>
          <w:sz w:val="22"/>
        </w:rPr>
        <w:t>Un facteur encore peu quantifie dans la litterature est l'impact de la robotique IA sur la demande energetique. Les robots autonomes necessitent a la fois du compute embarque (edge computing) et du compute centralise (cloud IA pour l'entrainement et les mises a jour de modeles). Le deploiement massif de l'automatisation IA dans l'industrie pourrait ajouter 20 a 30 pour cent de demande energetique supplementaire dans les secteurs concernes, en plus de la croissance des centres de donnees. Ce facteur est integre comme variable de sensibilite dans nos scenarios (chapitre V), aucune estimation precise et fiable n'existant encore. L'AIE consacre neanmoins une section de son rapport a l'effet rebond de Jevons : meme avec des gains d'efficacite significatifs (illustres par le cas DeepSeek), la croissance de la demande absorbe les gains.[6]</w:t>
      </w:r>
    </w:p>
    <w:p>
      <w:pPr>
        <w:spacing w:before="280" w:after="120"/>
      </w:pPr>
      <w:r>
        <w:rPr>
          <w:rFonts w:ascii="Calibri" w:hAnsi="Calibri"/>
          <w:b/>
          <w:i w:val="0"/>
          <w:color w:val="1A2744"/>
          <w:sz w:val="32"/>
        </w:rPr>
        <w:t>3.2 Marche des semi-conducteurs : une croissance tiree par l'IA</w:t>
      </w:r>
    </w:p>
    <w:p>
      <w:pPr>
        <w:spacing w:before="160" w:after="120"/>
      </w:pPr>
      <w:r>
        <w:rPr>
          <w:rFonts w:ascii="Calibri" w:hAnsi="Calibri"/>
          <w:b/>
          <w:i w:val="0"/>
          <w:color w:val="1A2744"/>
          <w:sz w:val="26"/>
        </w:rPr>
        <w:t>3.2.1 Trajectoire des ventes mondiales 2020-2025</w:t>
      </w:r>
    </w:p>
    <w:p>
      <w:pPr>
        <w:spacing w:after="120" w:line="300" w:lineRule="auto"/>
      </w:pPr>
      <w:r>
        <w:rPr>
          <w:rFonts w:ascii="Calibri" w:hAnsi="Calibri"/>
          <w:b w:val="0"/>
          <w:i w:val="0"/>
          <w:color w:val="202020"/>
          <w:sz w:val="22"/>
        </w:rPr>
        <w:t>Le marche mondial des semi-conducteurs a suivi une trajectoire remarquable depuis 2020. Apres un record de 555,9 milliards USD en 2022, le secteur s'est contracte de 8,2 pour cent en 2023 (526,8 milliards USD), avant un rebond spectaculaire en 2024 : les ventes mondiales ont atteint 630,5 milliards USD (donnees SIA/WSTS revisees, mars 2025), une hausse de 19,1 pour cent en glissement annuel et un nouveau record absolu.[7]</w:t>
      </w:r>
    </w:p>
    <w:p>
      <w:pPr>
        <w:spacing w:after="120" w:line="300" w:lineRule="auto"/>
      </w:pPr>
      <w:r>
        <w:rPr>
          <w:rFonts w:ascii="Calibri" w:hAnsi="Calibri"/>
          <w:b w:val="0"/>
          <w:i w:val="0"/>
          <w:color w:val="202020"/>
          <w:sz w:val="22"/>
        </w:rPr>
        <w:t>L'annee 2025 a confirme l'acceleration. La SIA a annonce en fevrier 2026 des ventes mondiales de 791,7 milliards USD en 2025, une hausse de 25,6 pour cent par rapport a 2024.[8] Le quatrieme trimestre 2025 (236,6 milliards USD) etait 37,1 pour cent plus eleve que le meme trimestre en 2024. La SIA projette desormais des ventes proches de 1 000 milliards USD en 2026, un seuil symbolique qui semblait hors de portee il y a deux ans.</w:t>
      </w:r>
    </w:p>
    <w:p>
      <w:pPr>
        <w:spacing w:after="120" w:line="300" w:lineRule="auto"/>
      </w:pPr>
      <w:r>
        <w:rPr>
          <w:rFonts w:ascii="Calibri" w:hAnsi="Calibri"/>
          <w:b w:val="0"/>
          <w:i w:val="0"/>
          <w:color w:val="202020"/>
          <w:sz w:val="22"/>
        </w:rPr>
        <w:t>Deux segments tirent cette croissance. Les puces logiques (processeurs, GPU, ASIC) ont atteint 301,9 milliards USD en 2025 (+39,9 pour cent), devenant la premiere categorie par les ventes. La memoire (DRAM, NAND) a atteint 223,1 milliards USD (+34,8 pour cent). Ensemble, ces deux segments representent plus de 66 pour cent des ventes mondiales et refletent directement la demande d'infrastructure IA : serveurs, centres de donnees et HPC (High Performance Computing).</w:t>
      </w:r>
    </w:p>
    <w:p>
      <w:pPr>
        <w:spacing w:before="160" w:after="120"/>
      </w:pPr>
      <w:r>
        <w:rPr>
          <w:rFonts w:ascii="Calibri" w:hAnsi="Calibri"/>
          <w:b/>
          <w:i w:val="0"/>
          <w:color w:val="1A2744"/>
          <w:sz w:val="26"/>
        </w:rPr>
        <w:t>3.2.2 La question du perimetre : SIA vs McKinsey</w:t>
      </w:r>
    </w:p>
    <w:p>
      <w:pPr>
        <w:spacing w:after="120" w:line="300" w:lineRule="auto"/>
      </w:pPr>
      <w:r>
        <w:rPr>
          <w:rFonts w:ascii="Calibri" w:hAnsi="Calibri"/>
          <w:b w:val="0"/>
          <w:i w:val="0"/>
          <w:color w:val="202020"/>
          <w:sz w:val="22"/>
        </w:rPr>
        <w:t>Comme note au chapitre II, un ecart methodologique notable existe entre les donnees SIA/WSTS et les estimations McKinsey. La SIA enregistre les ventes de semi-conducteurs au sens strict (composants vendus par les fabricants). McKinsey (janvier 2026) adopte un perimetre elargi incluant la valeur des designers captifs (Apple, Amazon, Tesla, Google), c'est-a-dire la valeur economique des puces concues en interne mais fabriquees par des fonderies sous contrat. Sous ce perimetre elargi, McKinsey valorise le marche a environ 775 milliards USD en 2024 et projette 1,5 a 1,8 trillions USD d'ici 2030.[9] Le perimetre elargi est plus pertinent pour notre analyse car il capture la pleine valeur de la chaine IA, y compris les investissements de design des hyperscalers.</w:t>
      </w:r>
    </w:p>
    <w:p>
      <w:pPr>
        <w:spacing w:before="160" w:after="120"/>
      </w:pPr>
      <w:r>
        <w:rPr>
          <w:rFonts w:ascii="Calibri" w:hAnsi="Calibri"/>
          <w:b/>
          <w:i w:val="0"/>
          <w:color w:val="1A2744"/>
          <w:sz w:val="26"/>
        </w:rPr>
        <w:t>3.2.3 Concentration regionale de la capacite de fabrication</w:t>
      </w:r>
    </w:p>
    <w:p>
      <w:pPr>
        <w:spacing w:after="120" w:line="300" w:lineRule="auto"/>
      </w:pPr>
      <w:r>
        <w:rPr>
          <w:rFonts w:ascii="Calibri" w:hAnsi="Calibri"/>
          <w:b w:val="0"/>
          <w:i w:val="0"/>
          <w:color w:val="202020"/>
          <w:sz w:val="22"/>
        </w:rPr>
        <w:t>La distribution geographique de la capacite de fonderie constitue un facteur cle de vulnerabilite. Taiwan (TSMC) concentre l'essentiel de la production de pointe (noeuds sub-7 nm). Les Etats-Unis representent environ 10 pour cent de la capacite installee mondiale mais croissent rapidement (le Chips Act a genere pres de 500 milliards USD d'investissement prive annonce, avec un objectif de tripler la capacite americaine d'ici 2032).[10] L'UE represente environ 8 pour cent de la capacite mondiale, un chiffre que l'EU Chips Act (43 milliards EUR) vise a porter a 20 pour cent d'ici 2030, un objectif juge irrealiste par de nombreux observateurs. La Chine, malgre les restrictions, progresse de 21 pour cent vers un objectif de 30 pour cent de capacite installee d'ici 2030, principalement sur les noeuds matures (28 nm et au-dessus).</w:t>
      </w:r>
    </w:p>
    <w:p>
      <w:pPr>
        <w:spacing w:before="280" w:after="120"/>
      </w:pPr>
      <w:r>
        <w:rPr>
          <w:rFonts w:ascii="Calibri" w:hAnsi="Calibri"/>
          <w:b/>
          <w:i w:val="0"/>
          <w:color w:val="1A2744"/>
          <w:sz w:val="32"/>
        </w:rPr>
        <w:t>3.3 Repartition geographique du compute IA installe</w:t>
      </w:r>
    </w:p>
    <w:p>
      <w:pPr>
        <w:spacing w:before="160" w:after="120"/>
      </w:pPr>
      <w:r>
        <w:rPr>
          <w:rFonts w:ascii="Calibri" w:hAnsi="Calibri"/>
          <w:b/>
          <w:i w:val="0"/>
          <w:color w:val="1A2744"/>
          <w:sz w:val="26"/>
        </w:rPr>
        <w:t>3.3.1 Domination americaine : trois quarts du compute operationnel</w:t>
      </w:r>
    </w:p>
    <w:p>
      <w:pPr>
        <w:spacing w:after="120" w:line="300" w:lineRule="auto"/>
      </w:pPr>
      <w:r>
        <w:rPr>
          <w:rFonts w:ascii="Calibri" w:hAnsi="Calibri"/>
          <w:b w:val="0"/>
          <w:i w:val="0"/>
          <w:color w:val="202020"/>
          <w:sz w:val="22"/>
        </w:rPr>
        <w:t>La donnee la plus significative pour notre analyse est la repartition geographique de la capacite de calcul dediee a l'IA. Les travaux d'Epoch AI (Pilz et al., avril 2025) fournissent le jeu de donnees fondamental, rafraichi mensuellement sur le tableau de bord public.[11] A avril 2026, le tableau de bord catalogue 786 clusters, dont 609 operationnels et 171 planifies ou annonces.</w:t>
      </w:r>
    </w:p>
    <w:p>
      <w:pPr>
        <w:spacing w:after="120" w:line="300" w:lineRule="auto"/>
      </w:pPr>
      <w:r>
        <w:rPr>
          <w:rFonts w:ascii="Calibri" w:hAnsi="Calibri"/>
          <w:b w:val="0"/>
          <w:i w:val="0"/>
          <w:color w:val="202020"/>
          <w:sz w:val="22"/>
        </w:rPr>
        <w:t>Le resultat est sans ambiguite. Sur le compute operationnel uniquement, les Etats-Unis concentrent 78,9 pour cent de la capacite mondiale en H100-equivalents, la Chine en detient 12,8 pour cent, et l'UE(13) represente 4,4 pour cent. Les autres pays se partagent environ 6 pour cent. Le ratio US/UE en H100-equivalents operationnels est donc de 17,6:1, un ecart de magnitude considerable qui s'est legerement creuse depuis le snapshot GeoCoded/Sanchez de mai 2025 (74,5 / 14,1 / 4,8 pour cent).[12]</w:t>
      </w:r>
    </w:p>
    <w:p>
      <w:pPr>
        <w:spacing w:after="120" w:line="300" w:lineRule="auto"/>
      </w:pPr>
      <w:r>
        <w:rPr>
          <w:rFonts w:ascii="Calibri" w:hAnsi="Calibri"/>
          <w:b w:val="0"/>
          <w:i w:val="0"/>
          <w:color w:val="202020"/>
          <w:sz w:val="22"/>
        </w:rPr>
        <w:t>Deux dynamiques expliquent cette concentration. Premierement, la part du secteur prive dans le compute IA mondial est passee de 40 pour cent en 2019 a 80 pour cent en 2025, et les entreprises technologiques investissant massivement dans l'IA sont quasi exclusivement americaines (Microsoft, Meta, Google, Amazon, xAI). Deuxiemement, la taille des clusters a explose : les systemes de plus de 10 000 puces etaient rares en 2019 ; en 2024, xAI a deploye un cluster Colossus de 200 000 GPU. La performance des supercalculateurs IA de pointe double tous les neuf mois.[13]</w:t>
      </w:r>
    </w:p>
    <w:p>
      <w:pPr>
        <w:spacing w:after="120" w:line="300" w:lineRule="auto"/>
      </w:pPr>
      <w:r>
        <w:rPr>
          <w:rFonts w:ascii="Calibri" w:hAnsi="Calibri"/>
          <w:b w:val="0"/>
          <w:i w:val="0"/>
          <w:color w:val="202020"/>
          <w:sz w:val="22"/>
        </w:rPr>
        <w:t>Le tableau change substantiellement lorsque la capacite planifiee est incluse. La vue F_total du tableau de bord, qui compte a la fois les clusters operationnels et annonces, montre la part US tomber a 49,9 pour cent. Le decalage n'est pas du a des acteurs etrangers construisant une capacite independante, mais aux hyperscalers americains delocalisant vers des juridictions alliees : le campus annonce de 5 GW aux EAU et le Stargate UAE Phase 2 representent 22,9 millions de H100-equivalents, l'Arabie saoudite 7,2 millions, et la Coree du Sud 5,3 millions, tous largement detenus ou operes par des entreprises americaines. Cette distinction entre CACI Physique (ou se trouve le cluster) et CACI Souverain (qui le controle) est developpee au chapitre V. La part chinoise s'effondre a 0,5 pour cent en F_total, un artefact de la methodologie Epoch AI plutot qu'un veritable changement de position : le jeu de donnees anonymise les systemes chinois et les arrondit aggressivement, de sorte que la capacite chinoise annoncee est structurellement sous-enregistree. La part UE(13) en F_total descend egalement a 3,3 pour cent car le campus Fluidstack 1 GW en France tire le total vers le haut tandis que le reste de l'UE compte peu d'annonces majeures.</w:t>
      </w:r>
    </w:p>
    <w:p>
      <w:pPr>
        <w:spacing w:before="160" w:after="120"/>
      </w:pPr>
      <w:r>
        <w:rPr>
          <w:rFonts w:ascii="Calibri" w:hAnsi="Calibri"/>
          <w:b/>
          <w:i w:val="0"/>
          <w:color w:val="1A2744"/>
          <w:sz w:val="26"/>
        </w:rPr>
        <w:t>3.3.2 Puissance electrique totale du parc de puces IA</w:t>
      </w:r>
    </w:p>
    <w:p>
      <w:pPr>
        <w:spacing w:after="120" w:line="300" w:lineRule="auto"/>
      </w:pPr>
      <w:r>
        <w:rPr>
          <w:rFonts w:ascii="Calibri" w:hAnsi="Calibri"/>
          <w:b w:val="0"/>
          <w:i w:val="0"/>
          <w:color w:val="202020"/>
          <w:sz w:val="22"/>
        </w:rPr>
        <w:t>Epoch AI (janvier 2026) estime la capacite electrique totale du parc mondial de puces IA a environ 30 GW fin 2025, comparable a la consommation de pointe de l'Etat de New York.[14] Cette estimation repose sur les ventes trimestrielles de puces IA des principaux fabricants (Nvidia, AMD, Google TPU), multipliees par leur puissance nominale (TDP) et un facteur 2,5x pour l'infrastructure des centres de donnees. La production mondiale de puces IA double tous les sept mois, un rythme qui depasse toutes les previsions anterieures. Les cinq plus grands investisseurs americains en serveurs IA (Microsoft, Google, Meta, Amazon, xAI) ont annonce 320 milliards USD d'investissements en 2025, contre 230 milliards USD en 2024.</w:t>
      </w:r>
    </w:p>
    <w:p>
      <w:pPr>
        <w:spacing w:before="160" w:after="120"/>
      </w:pPr>
      <w:r>
        <w:rPr>
          <w:rFonts w:ascii="Calibri" w:hAnsi="Calibri"/>
          <w:b/>
          <w:i w:val="0"/>
          <w:color w:val="1A2744"/>
          <w:sz w:val="26"/>
        </w:rPr>
        <w:t>3.3.3 Implications pour la metrique CACI</w:t>
      </w:r>
    </w:p>
    <w:p>
      <w:pPr>
        <w:spacing w:after="120" w:line="300" w:lineRule="auto"/>
      </w:pPr>
      <w:r>
        <w:rPr>
          <w:rFonts w:ascii="Calibri" w:hAnsi="Calibri"/>
          <w:b w:val="0"/>
          <w:i w:val="0"/>
          <w:color w:val="202020"/>
          <w:sz w:val="22"/>
        </w:rPr>
        <w:t>Ces donnees permettent une calibration precise du CACI defini au chapitre II. En utilisant la formule geometrique ponderee CACI = F^0,40 x L^0,20 x R^0,15 / E^0,25 (Power Mode), avec les valeurs de reference du tableau de bord d'avril 2026 : compute US operationnel de 2 759 968 PetaFLOP/s (FP16) contre 156 632 PetaFLOP/s pour l'UE(13), un ratio energie UE/US ajuste-PPA de 1,59x (135 contre 85 USD/MWh), des ordres de grandeur de population active comparables (3,5 contre 9,6 millions a travers l'UE(13)), et des facteurs d'acces geopolitique R(US) = 1,0 contre R(UE) = 0,9, le ratio CACI(US)/CACI(UE) en Power Mode s'etablit a 3,47:1.</w:t>
      </w:r>
    </w:p>
    <w:p>
      <w:pPr>
        <w:spacing w:after="120" w:line="300" w:lineRule="auto"/>
      </w:pPr>
      <w:r>
        <w:rPr>
          <w:rFonts w:ascii="Calibri" w:hAnsi="Calibri"/>
          <w:b w:val="0"/>
          <w:i w:val="0"/>
          <w:color w:val="202020"/>
          <w:sz w:val="22"/>
        </w:rPr>
        <w:t>L'ecart est substantiellement attenue par rapport a l'avantage brut de 17,6:1 en H100-equivalents car les exposants geometriques (F a 0,40 ; L a 0,20 ; R a 0,15 ; E a 0,25) appliquent des rendements decroissants a la massive avance US sur le compute et recompensent partiellement l'UE sur le travail, l'acces geopolitique et des multiplicateurs energetiques plus faibles. En Intensity Mode (en divisant additionnellement par le PIB), l'ecart se resserre encore a environ 1,4:1, raison pour laquelle le ratio principal utilise dans toute cette etude est le ratio Power Mode de 3,47:1. Le chapitre V projette l'evolution de ce ratio dans chaque scenario.</w:t>
      </w:r>
    </w:p>
    <w:p>
      <w:pPr>
        <w:spacing w:before="280" w:after="120"/>
      </w:pPr>
      <w:r>
        <w:rPr>
          <w:rFonts w:ascii="Calibri" w:hAnsi="Calibri"/>
          <w:b/>
          <w:i w:val="0"/>
          <w:color w:val="1A2744"/>
          <w:sz w:val="32"/>
        </w:rPr>
        <w:t>3.4 Chronologie des mesures reglementaires americaines (2022-2026)</w:t>
      </w:r>
    </w:p>
    <w:p>
      <w:pPr>
        <w:spacing w:after="120" w:line="300" w:lineRule="auto"/>
      </w:pPr>
      <w:r>
        <w:rPr>
          <w:rFonts w:ascii="Calibri" w:hAnsi="Calibri"/>
          <w:b w:val="0"/>
          <w:i w:val="0"/>
          <w:color w:val="202020"/>
          <w:sz w:val="22"/>
        </w:rPr>
        <w:t>La sequence des mesures americaines de controle des semi-conducteurs et de l'IA constitue le fil directeur de notre hypothese. Quatre phases sont identifiables, marquant une escalade progressive dans l'etendue et l'intensite des restrictions.</w:t>
      </w:r>
    </w:p>
    <w:p>
      <w:pPr>
        <w:spacing w:before="160" w:after="120"/>
      </w:pPr>
      <w:r>
        <w:rPr>
          <w:rFonts w:ascii="Calibri" w:hAnsi="Calibri"/>
          <w:b/>
          <w:i w:val="0"/>
          <w:color w:val="1A2744"/>
          <w:sz w:val="26"/>
        </w:rPr>
        <w:t>Phase 1 - Le choc initial (7 octobre 2022)</w:t>
      </w:r>
    </w:p>
    <w:p>
      <w:pPr>
        <w:spacing w:after="120" w:line="300" w:lineRule="auto"/>
      </w:pPr>
      <w:r>
        <w:rPr>
          <w:rFonts w:ascii="Calibri" w:hAnsi="Calibri"/>
          <w:b w:val="0"/>
          <w:i w:val="0"/>
          <w:color w:val="202020"/>
          <w:sz w:val="22"/>
        </w:rPr>
        <w:t>Le BIS (Bureau of Industry and Security) du departement du Commerce publie une regle interimaire definitive qui transforme radicalement les controles a l'exportation americains sur les semi-conducteurs. Les mesures couvrent trois composantes : (i) controles sur les puces de calcul avancees (GPU au-dessus des seuils de performance definis par TTP - Total Processing Performance), (ii) controles sur les equipements de fabrication de semi-conducteurs (SME, y compris les lithographies EUV et DUV), et (iii) restrictions sur les activites de US persons soutenant la fabrication de puces avancees en Chine.[15] La cible est explicitement la Chine : l'objectif annonce est d'empecher la modernisation militaire chinoise via l'acces au compute IA. Les restrictions incluent trois nouvelles regles Foreign Direct Product (FDP) qui etendent la juridiction americaine aux produits fabriques hors des Etats-Unis si des technologies americaines sont utilisees dans leur production.</w:t>
      </w:r>
    </w:p>
    <w:p>
      <w:pPr>
        <w:spacing w:before="160" w:after="120"/>
      </w:pPr>
      <w:r>
        <w:rPr>
          <w:rFonts w:ascii="Calibri" w:hAnsi="Calibri"/>
          <w:b/>
          <w:i w:val="0"/>
          <w:color w:val="1A2744"/>
          <w:sz w:val="26"/>
        </w:rPr>
        <w:t>Phase 2 - Combler les failles (octobre 2023)</w:t>
      </w:r>
    </w:p>
    <w:p>
      <w:pPr>
        <w:spacing w:after="120" w:line="300" w:lineRule="auto"/>
      </w:pPr>
      <w:r>
        <w:rPr>
          <w:rFonts w:ascii="Calibri" w:hAnsi="Calibri"/>
          <w:b w:val="0"/>
          <w:i w:val="0"/>
          <w:color w:val="202020"/>
          <w:sz w:val="22"/>
        </w:rPr>
        <w:t>Le BIS publie deux nouvelles regles interimaires qui renforcent et elargissent les controles d'octobre 2022. Les seuils techniques sont ajustes pour capturer les puces Nvidia specifiquement concues pour contourner les restrictions (A800, H800). Le perimetre geographique est etendu a environ 40 pays supplementaires (Country Groups D:1, D:4 et D:5), avec un regime de licences differencie par categorie de pays.[16] Les controles sur les equipements de fabrication sont approfondis. C'est durant cette phase que les acteurs europeens commencent a percevoir les effets indirects des restrictions, meme si l'UE n'est pas la cible principale.</w:t>
      </w:r>
    </w:p>
    <w:p>
      <w:pPr>
        <w:spacing w:before="160" w:after="120"/>
      </w:pPr>
      <w:r>
        <w:rPr>
          <w:rFonts w:ascii="Calibri" w:hAnsi="Calibri"/>
          <w:b/>
          <w:i w:val="0"/>
          <w:color w:val="1A2744"/>
          <w:sz w:val="26"/>
        </w:rPr>
        <w:t>Phase 3 - L'AI Diffusion Rule (janvier 2025, Biden)</w:t>
      </w:r>
    </w:p>
    <w:p>
      <w:pPr>
        <w:spacing w:after="120" w:line="300" w:lineRule="auto"/>
      </w:pPr>
      <w:r>
        <w:rPr>
          <w:rFonts w:ascii="Calibri" w:hAnsi="Calibri"/>
          <w:b w:val="0"/>
          <w:i w:val="0"/>
          <w:color w:val="202020"/>
          <w:sz w:val="22"/>
        </w:rPr>
        <w:t>L'administration Biden publie en janvier 2025 l'AI Diffusion Rule, qui represente un changement qualitatif. Pour la premiere fois, les restrictions s'appliquent non seulement aux puces physiques mais aussi aux poids des modeles IA et a l'acces au compute cloud. La regle classifie 120 pays en trois categories : (i) allies de confiance (acces large), (ii) pays intermediaires (quotas), (iii) pays embargoes.[17] Les reactions europeennes sont fortes : le Parlement europeen alerte sur les restrictions menacant la capacite de l'UE a entrainer des modeles sur ses AI Factories. La France et l'Allemagne sont classees comme partenaires de confiance, mais d'autres Etats membres font face a des plafonds sur les volumes de GPU importables.</w:t>
      </w:r>
    </w:p>
    <w:p>
      <w:pPr>
        <w:spacing w:before="160" w:after="120"/>
      </w:pPr>
      <w:r>
        <w:rPr>
          <w:rFonts w:ascii="Calibri" w:hAnsi="Calibri"/>
          <w:b/>
          <w:i w:val="0"/>
          <w:color w:val="1A2744"/>
          <w:sz w:val="26"/>
        </w:rPr>
        <w:t>Phase 4 - La rupture Trump : Section 232 et protectionnisme explicite (janvier 2026)</w:t>
      </w:r>
    </w:p>
    <w:p>
      <w:pPr>
        <w:spacing w:after="120" w:line="300" w:lineRule="auto"/>
      </w:pPr>
      <w:r>
        <w:rPr>
          <w:rFonts w:ascii="Calibri" w:hAnsi="Calibri"/>
          <w:b w:val="0"/>
          <w:i w:val="0"/>
          <w:color w:val="202020"/>
          <w:sz w:val="22"/>
        </w:rPr>
        <w:t>Le 14 janvier 2026, le president Trump signe la Proclamation 11002, invoquant la Section 232 du Trade Expansion Act de 1962.[18] Cette action marque une rupture qualitative avec les phases precedentes, pour trois raisons.</w:t>
      </w:r>
    </w:p>
    <w:p>
      <w:pPr>
        <w:spacing w:after="120" w:line="300" w:lineRule="auto"/>
      </w:pPr>
      <w:r>
        <w:rPr>
          <w:rFonts w:ascii="Calibri" w:hAnsi="Calibri"/>
          <w:b w:val="0"/>
          <w:i w:val="0"/>
          <w:color w:val="202020"/>
          <w:sz w:val="22"/>
        </w:rPr>
        <w:t>Premierement, l'instrument juridique change. Les phases 1 a 3 relevaient des controles a l'exportation (regulation des exportations, logique defensive de securite nationale). La Section 232 est un instrument tarifaire (droits a l'importation), dont la logique est protectionniste : elle vise a proteger la production domestique, et non simplement a restreindre l'acces d'un adversaire.</w:t>
      </w:r>
    </w:p>
    <w:p>
      <w:pPr>
        <w:spacing w:after="120" w:line="300" w:lineRule="auto"/>
      </w:pPr>
      <w:r>
        <w:rPr>
          <w:rFonts w:ascii="Calibri" w:hAnsi="Calibri"/>
          <w:b w:val="0"/>
          <w:i w:val="0"/>
          <w:color w:val="202020"/>
          <w:sz w:val="22"/>
        </w:rPr>
        <w:t>Deuxiemement, le tarif cree un avantage competitif explicite pour les entreprises americaines. Le tarif de 25 pour cent frappe les GPU avances (H200, MI325X) importes sauf s'ils sont destines a des usages domestiques americains : centres de donnees US, R&amp;D, startups, secteur public, applications industrielles et grand public hors centres de donnees. Concretement, une entreprise americaine utilisant ces puces sur le sol americain ne paie pas le tarif ; une entreprise etrangere important les memes puces pour reexportation vers la Chine paie 25 pour cent.[19]</w:t>
      </w:r>
    </w:p>
    <w:p>
      <w:pPr>
        <w:spacing w:after="120" w:line="300" w:lineRule="auto"/>
      </w:pPr>
      <w:r>
        <w:rPr>
          <w:rFonts w:ascii="Calibri" w:hAnsi="Calibri"/>
          <w:b w:val="0"/>
          <w:i w:val="0"/>
          <w:color w:val="202020"/>
          <w:sz w:val="22"/>
        </w:rPr>
        <w:t>Troisiemement, la proclamation annonce une expansion imminente. Le texte prevoit que le secretaire au Commerce et l'USTR negocient dans les 90 jours avec les pays producteurs de semi-conducteurs, et que des tarifs plus larges, accompagnes d'un programme de tariff offset pour les entreprises investissant dans la production americaine, pourraient etre imposes. Le secretaire au Commerce doit fournir d'ici juillet 2026 un rapport sur le marche des semi-conducteurs utilises dans les centres de donnees americains.[20]</w:t>
      </w:r>
    </w:p>
    <w:p>
      <w:pPr>
        <w:spacing w:before="160" w:after="120"/>
      </w:pPr>
      <w:r>
        <w:rPr>
          <w:rFonts w:ascii="Calibri" w:hAnsi="Calibri"/>
          <w:b/>
          <w:i w:val="0"/>
          <w:color w:val="1A2744"/>
          <w:sz w:val="26"/>
        </w:rPr>
        <w:t>3.4.5 Interpretation : du controle defensif au protectionnisme offensif</w:t>
      </w:r>
    </w:p>
    <w:p>
      <w:pPr>
        <w:spacing w:after="120" w:line="300" w:lineRule="auto"/>
      </w:pPr>
      <w:r>
        <w:rPr>
          <w:rFonts w:ascii="Calibri" w:hAnsi="Calibri"/>
          <w:b w:val="0"/>
          <w:i w:val="0"/>
          <w:color w:val="202020"/>
          <w:sz w:val="22"/>
        </w:rPr>
        <w:t>La sequence 2022-2026 revele une transformation qualitative de la politique americaine. Les phases Biden (2022-2025) suivent une logique de strategie de denial : empecher un adversaire designe (la Chine) d'acceder a des technologies cles, dans un cadre multilateral (coordination avec le Japon, les Pays-Bas). La phase Trump (2025-2026) ajoute une logique de strategie de capture : generer des revenus (tarif de 25 pour cent), prioriser les entreprises americaines (exemptions domestiques) et utiliser l'acces au compute comme levier de negociation avec des pays tiers.</w:t>
      </w:r>
    </w:p>
    <w:p>
      <w:pPr>
        <w:spacing w:after="120" w:line="300" w:lineRule="auto"/>
      </w:pPr>
      <w:r>
        <w:rPr>
          <w:rFonts w:ascii="Calibri" w:hAnsi="Calibri"/>
          <w:b w:val="0"/>
          <w:i w:val="0"/>
          <w:color w:val="202020"/>
          <w:sz w:val="22"/>
        </w:rPr>
        <w:t>C'est precisement la transformation qui valide l'hypothese centrale de notre etude : le protectionnisme technologique americain ne se limite plus a denier l'acces a un adversaire ; il construit activement un avantage competitif structurel pour les entreprises americaines. Les exemptions domestiques de la Section 232 signifient que, pour la premiere fois, le cout d'acces au compute de pointe est legalement differencie par la nationalite de l'utilisateur. Meme si les effets directs sur l'UE restent limites en janvier 2026 (le tarif cible principalement la reexportation vers la Chine), la proclamation ouvre la voie a une expansion qui pourrait directement affecter l'Europe, precisement le territoire des scenarios B, C et D de notre analyse.</w:t>
      </w:r>
    </w:p>
    <w:p>
      <w:pPr>
        <w:spacing w:before="280" w:after="120"/>
      </w:pPr>
      <w:r>
        <w:rPr>
          <w:rFonts w:ascii="Calibri" w:hAnsi="Calibri"/>
          <w:b/>
          <w:i w:val="0"/>
          <w:color w:val="1A2744"/>
          <w:sz w:val="32"/>
        </w:rPr>
        <w:t>3.5 Synthese diagnostique : les elements predetermines de 2026</w:t>
      </w:r>
    </w:p>
    <w:p>
      <w:pPr>
        <w:spacing w:after="120" w:line="300" w:lineRule="auto"/>
      </w:pPr>
      <w:r>
        <w:rPr>
          <w:rFonts w:ascii="Calibri" w:hAnsi="Calibri"/>
          <w:b w:val="0"/>
          <w:i w:val="0"/>
          <w:color w:val="202020"/>
          <w:sz w:val="22"/>
        </w:rPr>
        <w:t>Les quatre dimensions du diagnostic convergent vers un tableau coherent qui structure les scenarios du chapitre V.</w:t>
      </w:r>
    </w:p>
    <w:p>
      <w:pPr>
        <w:spacing w:after="120" w:line="300" w:lineRule="auto"/>
      </w:pPr>
      <w:r>
        <w:rPr>
          <w:rFonts w:ascii="Calibri" w:hAnsi="Calibri"/>
          <w:b w:val="0"/>
          <w:i w:val="0"/>
          <w:color w:val="202020"/>
          <w:sz w:val="22"/>
        </w:rPr>
        <w:t>(1) La demande de compute IA croit de maniere exponentielle (doublement des ventes de puces en deux ans, doublement projete de la consommation energetique sur six ans), et cette croissance ne montre aucun signe de ralentissement.</w:t>
      </w:r>
    </w:p>
    <w:p>
      <w:pPr>
        <w:spacing w:after="120" w:line="300" w:lineRule="auto"/>
      </w:pPr>
      <w:r>
        <w:rPr>
          <w:rFonts w:ascii="Calibri" w:hAnsi="Calibri"/>
          <w:b w:val="0"/>
          <w:i w:val="0"/>
          <w:color w:val="202020"/>
          <w:sz w:val="22"/>
        </w:rPr>
        <w:t>(2) Cette demande est structurellement concentree aux Etats-Unis. Le snapshot du tableau de bord d'avril 2026 chiffre la part US a 78,9 pour cent du compute IA operationnel en H100-equivalents et a 49,9 pour cent en incluant les clusters annonces ; 45 pour cent de la consommation electrique des centres de donnees ; et plus de 80 pour cent des investissements prives dans l'IA de frontiere. La concentration sur le compute operationnel s'accroit au fil du temps.</w:t>
      </w:r>
    </w:p>
    <w:p>
      <w:pPr>
        <w:spacing w:after="120" w:line="300" w:lineRule="auto"/>
      </w:pPr>
      <w:r>
        <w:rPr>
          <w:rFonts w:ascii="Calibri" w:hAnsi="Calibri"/>
          <w:b w:val="0"/>
          <w:i w:val="0"/>
          <w:color w:val="202020"/>
          <w:sz w:val="22"/>
        </w:rPr>
        <w:t>(3) L'Europe part d'une position structurellement deficitaire : environ 4,4 pour cent du compute operationnel en H100-equivalents, environ 15 pour cent de la consommation des centres de donnees, des couts energetiques 1,4 a 1,7 fois superieurs apres correction PPA (et 2 a 3 fois superieurs sur les tarifs Eurostat industriels non ajustes), et 72 a 80 pour cent de dependance aux hyperscalers US pour les charges IA cloud. Les plans d'investissement de l'UE (Chips Act, AI Factories, SNIA) portent des budgets au moins un ordre de grandeur inferieurs aux annonces des Big Tech 2025 (320 milliards USD pour les cinq seuls investisseurs US frontier-AI).</w:t>
      </w:r>
    </w:p>
    <w:p>
      <w:pPr>
        <w:spacing w:after="120" w:line="300" w:lineRule="auto"/>
      </w:pPr>
      <w:r>
        <w:rPr>
          <w:rFonts w:ascii="Calibri" w:hAnsi="Calibri"/>
          <w:b w:val="0"/>
          <w:i w:val="0"/>
          <w:color w:val="202020"/>
          <w:sz w:val="22"/>
        </w:rPr>
        <w:t>(4) Le cadre reglementaire americain a franchi un seuil qualitatif en janvier 2026 avec le passage des controles a l'exportation aux tarifs Section 232, creant un mecanisme legal de differenciation des couts d'acces au compute par nationalite. La proclamation signale explicitement la possibilite d'une expansion, dont la portee et le calendrier dependront de variables politiques, precisement les incertitudes critiques qu'explorent nos scenarios.</w:t>
      </w:r>
    </w:p>
    <w:p>
      <w:pPr>
        <w:spacing w:after="120" w:line="300" w:lineRule="auto"/>
      </w:pPr>
      <w:r>
        <w:rPr>
          <w:rFonts w:ascii="Calibri" w:hAnsi="Calibri"/>
          <w:b w:val="0"/>
          <w:i w:val="0"/>
          <w:color w:val="202020"/>
          <w:sz w:val="22"/>
        </w:rPr>
        <w:t>Le chapitre suivant (chapitre IV) analyse les mecanismes par lesquels cette asymetrie de compute se traduit en avantage competitif mesurable pour les entreprises americaines.</w:t>
      </w:r>
    </w:p>
    <w:p>
      <w:pPr>
        <w:spacing w:after="40"/>
      </w:pPr>
      <w:r>
        <w:rPr>
          <w:rFonts w:ascii="Calibri" w:hAnsi="Calibri"/>
          <w:b/>
          <w:i w:val="0"/>
          <w:color w:val="1A2744"/>
          <w:sz w:val="20"/>
        </w:rPr>
        <w:t>Tableau 4. Consommation electrique des centres de donnees par region, 2020-2030.</w:t>
      </w:r>
    </w:p>
    <w:p>
      <w:pPr>
        <w:spacing w:after="80"/>
      </w:pPr>
      <w:r>
        <w:rPr>
          <w:rFonts w:ascii="Calibri" w:hAnsi="Calibri"/>
          <w:b w:val="0"/>
          <w:i/>
          <w:color w:val="555555"/>
          <w:sz w:val="18"/>
        </w:rPr>
        <w:t>Source : AIE (2025), Energy and AI.</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rFonts w:ascii="Calibri" w:hAnsi="Calibri"/>
                <w:b/>
                <w:i w:val="0"/>
                <w:color w:val="1A2744"/>
                <w:sz w:val="20"/>
              </w:rPr>
              <w:t>Region</w:t>
            </w:r>
          </w:p>
        </w:tc>
        <w:tc>
          <w:tcPr>
            <w:tcW w:type="dxa" w:w="1624"/>
          </w:tcPr>
          <w:p>
            <w:r/>
            <w:r>
              <w:rPr>
                <w:rFonts w:ascii="Calibri" w:hAnsi="Calibri"/>
                <w:b/>
                <w:i w:val="0"/>
                <w:color w:val="1A2744"/>
                <w:sz w:val="20"/>
              </w:rPr>
              <w:t>2020</w:t>
            </w:r>
          </w:p>
        </w:tc>
        <w:tc>
          <w:tcPr>
            <w:tcW w:type="dxa" w:w="1624"/>
          </w:tcPr>
          <w:p>
            <w:r/>
            <w:r>
              <w:rPr>
                <w:rFonts w:ascii="Calibri" w:hAnsi="Calibri"/>
                <w:b/>
                <w:i w:val="0"/>
                <w:color w:val="1A2744"/>
                <w:sz w:val="20"/>
              </w:rPr>
              <w:t>2024</w:t>
            </w:r>
          </w:p>
        </w:tc>
        <w:tc>
          <w:tcPr>
            <w:tcW w:type="dxa" w:w="1624"/>
          </w:tcPr>
          <w:p>
            <w:r/>
            <w:r>
              <w:rPr>
                <w:rFonts w:ascii="Calibri" w:hAnsi="Calibri"/>
                <w:b/>
                <w:i w:val="0"/>
                <w:color w:val="1A2744"/>
                <w:sz w:val="20"/>
              </w:rPr>
              <w:t>2030 (AIE)</w:t>
            </w:r>
          </w:p>
        </w:tc>
        <w:tc>
          <w:tcPr>
            <w:tcW w:type="dxa" w:w="1624"/>
          </w:tcPr>
          <w:p>
            <w:r/>
            <w:r>
              <w:rPr>
                <w:rFonts w:ascii="Calibri" w:hAnsi="Calibri"/>
                <w:b/>
                <w:i w:val="0"/>
                <w:color w:val="1A2744"/>
                <w:sz w:val="20"/>
              </w:rPr>
              <w:t>Delta 24-30</w:t>
            </w:r>
          </w:p>
        </w:tc>
        <w:tc>
          <w:tcPr>
            <w:tcW w:type="dxa" w:w="1624"/>
          </w:tcPr>
          <w:p>
            <w:r/>
            <w:r>
              <w:rPr>
                <w:rFonts w:ascii="Calibri" w:hAnsi="Calibri"/>
                <w:b/>
                <w:i w:val="0"/>
                <w:color w:val="1A2744"/>
                <w:sz w:val="20"/>
              </w:rPr>
              <w:t>Part mondiale 2024</w:t>
            </w:r>
          </w:p>
        </w:tc>
      </w:tr>
      <w:tr>
        <w:tc>
          <w:tcPr>
            <w:tcW w:type="dxa" w:w="1624"/>
          </w:tcPr>
          <w:p>
            <w:r/>
            <w:r>
              <w:rPr>
                <w:rFonts w:ascii="Calibri" w:hAnsi="Calibri"/>
                <w:b w:val="0"/>
                <w:i w:val="0"/>
                <w:color w:val="202020"/>
                <w:sz w:val="20"/>
              </w:rPr>
              <w:t>Etats-Unis</w:t>
            </w:r>
          </w:p>
        </w:tc>
        <w:tc>
          <w:tcPr>
            <w:tcW w:type="dxa" w:w="1624"/>
          </w:tcPr>
          <w:p>
            <w:r/>
            <w:r>
              <w:rPr>
                <w:rFonts w:ascii="Calibri" w:hAnsi="Calibri"/>
                <w:b w:val="0"/>
                <w:i w:val="0"/>
                <w:color w:val="202020"/>
                <w:sz w:val="20"/>
              </w:rPr>
              <w:t>~120 TWh</w:t>
            </w:r>
          </w:p>
        </w:tc>
        <w:tc>
          <w:tcPr>
            <w:tcW w:type="dxa" w:w="1624"/>
          </w:tcPr>
          <w:p>
            <w:r/>
            <w:r>
              <w:rPr>
                <w:rFonts w:ascii="Calibri" w:hAnsi="Calibri"/>
                <w:b w:val="0"/>
                <w:i w:val="0"/>
                <w:color w:val="202020"/>
                <w:sz w:val="20"/>
              </w:rPr>
              <w:t>~180 TWh</w:t>
            </w:r>
          </w:p>
        </w:tc>
        <w:tc>
          <w:tcPr>
            <w:tcW w:type="dxa" w:w="1624"/>
          </w:tcPr>
          <w:p>
            <w:r/>
            <w:r>
              <w:rPr>
                <w:rFonts w:ascii="Calibri" w:hAnsi="Calibri"/>
                <w:b w:val="0"/>
                <w:i w:val="0"/>
                <w:color w:val="202020"/>
                <w:sz w:val="20"/>
              </w:rPr>
              <w:t>~420 TWh</w:t>
            </w:r>
          </w:p>
        </w:tc>
        <w:tc>
          <w:tcPr>
            <w:tcW w:type="dxa" w:w="1624"/>
          </w:tcPr>
          <w:p>
            <w:r/>
            <w:r>
              <w:rPr>
                <w:rFonts w:ascii="Calibri" w:hAnsi="Calibri"/>
                <w:b w:val="0"/>
                <w:i w:val="0"/>
                <w:color w:val="202020"/>
                <w:sz w:val="20"/>
              </w:rPr>
              <w:t>+240 TWh</w:t>
            </w:r>
          </w:p>
        </w:tc>
        <w:tc>
          <w:tcPr>
            <w:tcW w:type="dxa" w:w="1624"/>
          </w:tcPr>
          <w:p>
            <w:r/>
            <w:r>
              <w:rPr>
                <w:rFonts w:ascii="Calibri" w:hAnsi="Calibri"/>
                <w:b w:val="0"/>
                <w:i w:val="0"/>
                <w:color w:val="202020"/>
                <w:sz w:val="20"/>
              </w:rPr>
              <w:t>45 pct</w:t>
            </w:r>
          </w:p>
        </w:tc>
      </w:tr>
      <w:tr>
        <w:tc>
          <w:tcPr>
            <w:tcW w:type="dxa" w:w="1624"/>
          </w:tcPr>
          <w:p>
            <w:r/>
            <w:r>
              <w:rPr>
                <w:rFonts w:ascii="Calibri" w:hAnsi="Calibri"/>
                <w:b w:val="0"/>
                <w:i w:val="0"/>
                <w:color w:val="202020"/>
                <w:sz w:val="20"/>
              </w:rPr>
              <w:t>Chine</w:t>
            </w:r>
          </w:p>
        </w:tc>
        <w:tc>
          <w:tcPr>
            <w:tcW w:type="dxa" w:w="1624"/>
          </w:tcPr>
          <w:p>
            <w:r/>
            <w:r>
              <w:rPr>
                <w:rFonts w:ascii="Calibri" w:hAnsi="Calibri"/>
                <w:b w:val="0"/>
                <w:i w:val="0"/>
                <w:color w:val="202020"/>
                <w:sz w:val="20"/>
              </w:rPr>
              <w:t>~60 TWh</w:t>
            </w:r>
          </w:p>
        </w:tc>
        <w:tc>
          <w:tcPr>
            <w:tcW w:type="dxa" w:w="1624"/>
          </w:tcPr>
          <w:p>
            <w:r/>
            <w:r>
              <w:rPr>
                <w:rFonts w:ascii="Calibri" w:hAnsi="Calibri"/>
                <w:b w:val="0"/>
                <w:i w:val="0"/>
                <w:color w:val="202020"/>
                <w:sz w:val="20"/>
              </w:rPr>
              <w:t>~102 TWh</w:t>
            </w:r>
          </w:p>
        </w:tc>
        <w:tc>
          <w:tcPr>
            <w:tcW w:type="dxa" w:w="1624"/>
          </w:tcPr>
          <w:p>
            <w:r/>
            <w:r>
              <w:rPr>
                <w:rFonts w:ascii="Calibri" w:hAnsi="Calibri"/>
                <w:b w:val="0"/>
                <w:i w:val="0"/>
                <w:color w:val="202020"/>
                <w:sz w:val="20"/>
              </w:rPr>
              <w:t>~280 TWh</w:t>
            </w:r>
          </w:p>
        </w:tc>
        <w:tc>
          <w:tcPr>
            <w:tcW w:type="dxa" w:w="1624"/>
          </w:tcPr>
          <w:p>
            <w:r/>
            <w:r>
              <w:rPr>
                <w:rFonts w:ascii="Calibri" w:hAnsi="Calibri"/>
                <w:b w:val="0"/>
                <w:i w:val="0"/>
                <w:color w:val="202020"/>
                <w:sz w:val="20"/>
              </w:rPr>
              <w:t>+175 TWh</w:t>
            </w:r>
          </w:p>
        </w:tc>
        <w:tc>
          <w:tcPr>
            <w:tcW w:type="dxa" w:w="1624"/>
          </w:tcPr>
          <w:p>
            <w:r/>
            <w:r>
              <w:rPr>
                <w:rFonts w:ascii="Calibri" w:hAnsi="Calibri"/>
                <w:b w:val="0"/>
                <w:i w:val="0"/>
                <w:color w:val="202020"/>
                <w:sz w:val="20"/>
              </w:rPr>
              <w:t>25 pct</w:t>
            </w:r>
          </w:p>
        </w:tc>
      </w:tr>
      <w:tr>
        <w:tc>
          <w:tcPr>
            <w:tcW w:type="dxa" w:w="1624"/>
          </w:tcPr>
          <w:p>
            <w:r/>
            <w:r>
              <w:rPr>
                <w:rFonts w:ascii="Calibri" w:hAnsi="Calibri"/>
                <w:b w:val="0"/>
                <w:i w:val="0"/>
                <w:color w:val="202020"/>
                <w:sz w:val="20"/>
              </w:rPr>
              <w:t>Europe (UE)</w:t>
            </w:r>
          </w:p>
        </w:tc>
        <w:tc>
          <w:tcPr>
            <w:tcW w:type="dxa" w:w="1624"/>
          </w:tcPr>
          <w:p>
            <w:r/>
            <w:r>
              <w:rPr>
                <w:rFonts w:ascii="Calibri" w:hAnsi="Calibri"/>
                <w:b w:val="0"/>
                <w:i w:val="0"/>
                <w:color w:val="202020"/>
                <w:sz w:val="20"/>
              </w:rPr>
              <w:t>~45 TWh</w:t>
            </w:r>
          </w:p>
        </w:tc>
        <w:tc>
          <w:tcPr>
            <w:tcW w:type="dxa" w:w="1624"/>
          </w:tcPr>
          <w:p>
            <w:r/>
            <w:r>
              <w:rPr>
                <w:rFonts w:ascii="Calibri" w:hAnsi="Calibri"/>
                <w:b w:val="0"/>
                <w:i w:val="0"/>
                <w:color w:val="202020"/>
                <w:sz w:val="20"/>
              </w:rPr>
              <w:t>~70 TWh</w:t>
            </w:r>
          </w:p>
        </w:tc>
        <w:tc>
          <w:tcPr>
            <w:tcW w:type="dxa" w:w="1624"/>
          </w:tcPr>
          <w:p>
            <w:r/>
            <w:r>
              <w:rPr>
                <w:rFonts w:ascii="Calibri" w:hAnsi="Calibri"/>
                <w:b w:val="0"/>
                <w:i w:val="0"/>
                <w:color w:val="202020"/>
                <w:sz w:val="20"/>
              </w:rPr>
              <w:t>~115 TWh</w:t>
            </w:r>
          </w:p>
        </w:tc>
        <w:tc>
          <w:tcPr>
            <w:tcW w:type="dxa" w:w="1624"/>
          </w:tcPr>
          <w:p>
            <w:r/>
            <w:r>
              <w:rPr>
                <w:rFonts w:ascii="Calibri" w:hAnsi="Calibri"/>
                <w:b w:val="0"/>
                <w:i w:val="0"/>
                <w:color w:val="202020"/>
                <w:sz w:val="20"/>
              </w:rPr>
              <w:t>+45 TWh</w:t>
            </w:r>
          </w:p>
        </w:tc>
        <w:tc>
          <w:tcPr>
            <w:tcW w:type="dxa" w:w="1624"/>
          </w:tcPr>
          <w:p>
            <w:r/>
            <w:r>
              <w:rPr>
                <w:rFonts w:ascii="Calibri" w:hAnsi="Calibri"/>
                <w:b w:val="0"/>
                <w:i w:val="0"/>
                <w:color w:val="202020"/>
                <w:sz w:val="20"/>
              </w:rPr>
              <w:t>15 pct</w:t>
            </w:r>
          </w:p>
        </w:tc>
      </w:tr>
      <w:tr>
        <w:tc>
          <w:tcPr>
            <w:tcW w:type="dxa" w:w="1624"/>
          </w:tcPr>
          <w:p>
            <w:r/>
            <w:r>
              <w:rPr>
                <w:rFonts w:ascii="Calibri" w:hAnsi="Calibri"/>
                <w:b w:val="0"/>
                <w:i w:val="0"/>
                <w:color w:val="202020"/>
                <w:sz w:val="20"/>
              </w:rPr>
              <w:t>Monde</w:t>
            </w:r>
          </w:p>
        </w:tc>
        <w:tc>
          <w:tcPr>
            <w:tcW w:type="dxa" w:w="1624"/>
          </w:tcPr>
          <w:p>
            <w:r/>
            <w:r>
              <w:rPr>
                <w:rFonts w:ascii="Calibri" w:hAnsi="Calibri"/>
                <w:b w:val="0"/>
                <w:i w:val="0"/>
                <w:color w:val="202020"/>
                <w:sz w:val="20"/>
              </w:rPr>
              <w:t>~270 TWh</w:t>
            </w:r>
          </w:p>
        </w:tc>
        <w:tc>
          <w:tcPr>
            <w:tcW w:type="dxa" w:w="1624"/>
          </w:tcPr>
          <w:p>
            <w:r/>
            <w:r>
              <w:rPr>
                <w:rFonts w:ascii="Calibri" w:hAnsi="Calibri"/>
                <w:b w:val="0"/>
                <w:i w:val="0"/>
                <w:color w:val="202020"/>
                <w:sz w:val="20"/>
              </w:rPr>
              <w:t>~415 TWh</w:t>
            </w:r>
          </w:p>
        </w:tc>
        <w:tc>
          <w:tcPr>
            <w:tcW w:type="dxa" w:w="1624"/>
          </w:tcPr>
          <w:p>
            <w:r/>
            <w:r>
              <w:rPr>
                <w:rFonts w:ascii="Calibri" w:hAnsi="Calibri"/>
                <w:b w:val="0"/>
                <w:i w:val="0"/>
                <w:color w:val="202020"/>
                <w:sz w:val="20"/>
              </w:rPr>
              <w:t>~945 TWh</w:t>
            </w:r>
          </w:p>
        </w:tc>
        <w:tc>
          <w:tcPr>
            <w:tcW w:type="dxa" w:w="1624"/>
          </w:tcPr>
          <w:p>
            <w:r/>
            <w:r>
              <w:rPr>
                <w:rFonts w:ascii="Calibri" w:hAnsi="Calibri"/>
                <w:b w:val="0"/>
                <w:i w:val="0"/>
                <w:color w:val="202020"/>
                <w:sz w:val="20"/>
              </w:rPr>
              <w:t>+530 TWh</w:t>
            </w:r>
          </w:p>
        </w:tc>
        <w:tc>
          <w:tcPr>
            <w:tcW w:type="dxa" w:w="1624"/>
          </w:tcPr>
          <w:p>
            <w:r/>
            <w:r>
              <w:rPr>
                <w:rFonts w:ascii="Calibri" w:hAnsi="Calibri"/>
                <w:b w:val="0"/>
                <w:i w:val="0"/>
                <w:color w:val="202020"/>
                <w:sz w:val="20"/>
              </w:rPr>
              <w:t>100 pct</w:t>
            </w:r>
          </w:p>
        </w:tc>
      </w:tr>
    </w:tbl>
    <w:p/>
    <w:p>
      <w:pPr>
        <w:spacing w:after="40"/>
      </w:pPr>
      <w:r>
        <w:rPr>
          <w:rFonts w:ascii="Calibri" w:hAnsi="Calibri"/>
          <w:b/>
          <w:i w:val="0"/>
          <w:color w:val="1A2744"/>
          <w:sz w:val="20"/>
        </w:rPr>
        <w:t>Tableau 5. Ventes mondiales de semi-conducteurs, 2020-2026.</w:t>
      </w:r>
    </w:p>
    <w:p>
      <w:pPr>
        <w:spacing w:after="80"/>
      </w:pPr>
      <w:r>
        <w:rPr>
          <w:rFonts w:ascii="Calibri" w:hAnsi="Calibri"/>
          <w:b w:val="0"/>
          <w:i/>
          <w:color w:val="555555"/>
          <w:sz w:val="18"/>
        </w:rPr>
        <w:t>Sources : SIA/WSTS (fev. 2025, fev. 2026). La projection 2026 est basee sur la prevision automne 2025 du WSTS (975,4 milliards USD) et la declaration SIA de fevrier 2026.</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rFonts w:ascii="Calibri" w:hAnsi="Calibri"/>
                <w:b/>
                <w:i w:val="0"/>
                <w:color w:val="1A2744"/>
                <w:sz w:val="20"/>
              </w:rPr>
              <w:t>Annee</w:t>
            </w:r>
          </w:p>
        </w:tc>
        <w:tc>
          <w:tcPr>
            <w:tcW w:type="dxa" w:w="1392"/>
          </w:tcPr>
          <w:p>
            <w:r/>
            <w:r>
              <w:rPr>
                <w:rFonts w:ascii="Calibri" w:hAnsi="Calibri"/>
                <w:b/>
                <w:i w:val="0"/>
                <w:color w:val="1A2744"/>
                <w:sz w:val="20"/>
              </w:rPr>
              <w:t>2020</w:t>
            </w:r>
          </w:p>
        </w:tc>
        <w:tc>
          <w:tcPr>
            <w:tcW w:type="dxa" w:w="1392"/>
          </w:tcPr>
          <w:p>
            <w:r/>
            <w:r>
              <w:rPr>
                <w:rFonts w:ascii="Calibri" w:hAnsi="Calibri"/>
                <w:b/>
                <w:i w:val="0"/>
                <w:color w:val="1A2744"/>
                <w:sz w:val="20"/>
              </w:rPr>
              <w:t>2022</w:t>
            </w:r>
          </w:p>
        </w:tc>
        <w:tc>
          <w:tcPr>
            <w:tcW w:type="dxa" w:w="1392"/>
          </w:tcPr>
          <w:p>
            <w:r/>
            <w:r>
              <w:rPr>
                <w:rFonts w:ascii="Calibri" w:hAnsi="Calibri"/>
                <w:b/>
                <w:i w:val="0"/>
                <w:color w:val="1A2744"/>
                <w:sz w:val="20"/>
              </w:rPr>
              <w:t>2023</w:t>
            </w:r>
          </w:p>
        </w:tc>
        <w:tc>
          <w:tcPr>
            <w:tcW w:type="dxa" w:w="1392"/>
          </w:tcPr>
          <w:p>
            <w:r/>
            <w:r>
              <w:rPr>
                <w:rFonts w:ascii="Calibri" w:hAnsi="Calibri"/>
                <w:b/>
                <w:i w:val="0"/>
                <w:color w:val="1A2744"/>
                <w:sz w:val="20"/>
              </w:rPr>
              <w:t>2024</w:t>
            </w:r>
          </w:p>
        </w:tc>
        <w:tc>
          <w:tcPr>
            <w:tcW w:type="dxa" w:w="1392"/>
          </w:tcPr>
          <w:p>
            <w:r/>
            <w:r>
              <w:rPr>
                <w:rFonts w:ascii="Calibri" w:hAnsi="Calibri"/>
                <w:b/>
                <w:i w:val="0"/>
                <w:color w:val="1A2744"/>
                <w:sz w:val="20"/>
              </w:rPr>
              <w:t>2025</w:t>
            </w:r>
          </w:p>
        </w:tc>
        <w:tc>
          <w:tcPr>
            <w:tcW w:type="dxa" w:w="1392"/>
          </w:tcPr>
          <w:p>
            <w:r/>
            <w:r>
              <w:rPr>
                <w:rFonts w:ascii="Calibri" w:hAnsi="Calibri"/>
                <w:b/>
                <w:i w:val="0"/>
                <w:color w:val="1A2744"/>
                <w:sz w:val="20"/>
              </w:rPr>
              <w:t>2026 (proj.)</w:t>
            </w:r>
          </w:p>
        </w:tc>
      </w:tr>
      <w:tr>
        <w:tc>
          <w:tcPr>
            <w:tcW w:type="dxa" w:w="1392"/>
          </w:tcPr>
          <w:p>
            <w:r/>
            <w:r>
              <w:rPr>
                <w:rFonts w:ascii="Calibri" w:hAnsi="Calibri"/>
                <w:b w:val="0"/>
                <w:i w:val="0"/>
                <w:color w:val="202020"/>
                <w:sz w:val="20"/>
              </w:rPr>
              <w:t>Ventes (milliards USD, SIA)</w:t>
            </w:r>
          </w:p>
        </w:tc>
        <w:tc>
          <w:tcPr>
            <w:tcW w:type="dxa" w:w="1392"/>
          </w:tcPr>
          <w:p>
            <w:r/>
            <w:r>
              <w:rPr>
                <w:rFonts w:ascii="Calibri" w:hAnsi="Calibri"/>
                <w:b w:val="0"/>
                <w:i w:val="0"/>
                <w:color w:val="202020"/>
                <w:sz w:val="20"/>
              </w:rPr>
              <w:t>440</w:t>
            </w:r>
          </w:p>
        </w:tc>
        <w:tc>
          <w:tcPr>
            <w:tcW w:type="dxa" w:w="1392"/>
          </w:tcPr>
          <w:p>
            <w:r/>
            <w:r>
              <w:rPr>
                <w:rFonts w:ascii="Calibri" w:hAnsi="Calibri"/>
                <w:b w:val="0"/>
                <w:i w:val="0"/>
                <w:color w:val="202020"/>
                <w:sz w:val="20"/>
              </w:rPr>
              <w:t>556</w:t>
            </w:r>
          </w:p>
        </w:tc>
        <w:tc>
          <w:tcPr>
            <w:tcW w:type="dxa" w:w="1392"/>
          </w:tcPr>
          <w:p>
            <w:r/>
            <w:r>
              <w:rPr>
                <w:rFonts w:ascii="Calibri" w:hAnsi="Calibri"/>
                <w:b w:val="0"/>
                <w:i w:val="0"/>
                <w:color w:val="202020"/>
                <w:sz w:val="20"/>
              </w:rPr>
              <w:t>527</w:t>
            </w:r>
          </w:p>
        </w:tc>
        <w:tc>
          <w:tcPr>
            <w:tcW w:type="dxa" w:w="1392"/>
          </w:tcPr>
          <w:p>
            <w:r/>
            <w:r>
              <w:rPr>
                <w:rFonts w:ascii="Calibri" w:hAnsi="Calibri"/>
                <w:b w:val="0"/>
                <w:i w:val="0"/>
                <w:color w:val="202020"/>
                <w:sz w:val="20"/>
              </w:rPr>
              <w:t>631</w:t>
            </w:r>
          </w:p>
        </w:tc>
        <w:tc>
          <w:tcPr>
            <w:tcW w:type="dxa" w:w="1392"/>
          </w:tcPr>
          <w:p>
            <w:r/>
            <w:r>
              <w:rPr>
                <w:rFonts w:ascii="Calibri" w:hAnsi="Calibri"/>
                <w:b w:val="0"/>
                <w:i w:val="0"/>
                <w:color w:val="202020"/>
                <w:sz w:val="20"/>
              </w:rPr>
              <w:t>792</w:t>
            </w:r>
          </w:p>
        </w:tc>
        <w:tc>
          <w:tcPr>
            <w:tcW w:type="dxa" w:w="1392"/>
          </w:tcPr>
          <w:p>
            <w:r/>
            <w:r>
              <w:rPr>
                <w:rFonts w:ascii="Calibri" w:hAnsi="Calibri"/>
                <w:b w:val="0"/>
                <w:i w:val="0"/>
                <w:color w:val="202020"/>
                <w:sz w:val="20"/>
              </w:rPr>
              <w:t>~975-1000</w:t>
            </w:r>
          </w:p>
        </w:tc>
      </w:tr>
      <w:tr>
        <w:tc>
          <w:tcPr>
            <w:tcW w:type="dxa" w:w="1392"/>
          </w:tcPr>
          <w:p>
            <w:r/>
            <w:r>
              <w:rPr>
                <w:rFonts w:ascii="Calibri" w:hAnsi="Calibri"/>
                <w:b w:val="0"/>
                <w:i w:val="0"/>
                <w:color w:val="202020"/>
                <w:sz w:val="20"/>
              </w:rPr>
              <w:t>Croissance (pct)</w:t>
            </w:r>
          </w:p>
        </w:tc>
        <w:tc>
          <w:tcPr>
            <w:tcW w:type="dxa" w:w="1392"/>
          </w:tcPr>
          <w:p>
            <w:r/>
            <w:r>
              <w:rPr>
                <w:rFonts w:ascii="Calibri" w:hAnsi="Calibri"/>
                <w:b w:val="0"/>
                <w:i w:val="0"/>
                <w:color w:val="202020"/>
                <w:sz w:val="20"/>
              </w:rPr>
              <w:t>+6,8</w:t>
            </w:r>
          </w:p>
        </w:tc>
        <w:tc>
          <w:tcPr>
            <w:tcW w:type="dxa" w:w="1392"/>
          </w:tcPr>
          <w:p>
            <w:r/>
            <w:r>
              <w:rPr>
                <w:rFonts w:ascii="Calibri" w:hAnsi="Calibri"/>
                <w:b w:val="0"/>
                <w:i w:val="0"/>
                <w:color w:val="202020"/>
                <w:sz w:val="20"/>
              </w:rPr>
              <w:t>+3,3</w:t>
            </w:r>
          </w:p>
        </w:tc>
        <w:tc>
          <w:tcPr>
            <w:tcW w:type="dxa" w:w="1392"/>
          </w:tcPr>
          <w:p>
            <w:r/>
            <w:r>
              <w:rPr>
                <w:rFonts w:ascii="Calibri" w:hAnsi="Calibri"/>
                <w:b w:val="0"/>
                <w:i w:val="0"/>
                <w:color w:val="202020"/>
                <w:sz w:val="20"/>
              </w:rPr>
              <w:t>-8,2</w:t>
            </w:r>
          </w:p>
        </w:tc>
        <w:tc>
          <w:tcPr>
            <w:tcW w:type="dxa" w:w="1392"/>
          </w:tcPr>
          <w:p>
            <w:r/>
            <w:r>
              <w:rPr>
                <w:rFonts w:ascii="Calibri" w:hAnsi="Calibri"/>
                <w:b w:val="0"/>
                <w:i w:val="0"/>
                <w:color w:val="202020"/>
                <w:sz w:val="20"/>
              </w:rPr>
              <w:t>+19,1</w:t>
            </w:r>
          </w:p>
        </w:tc>
        <w:tc>
          <w:tcPr>
            <w:tcW w:type="dxa" w:w="1392"/>
          </w:tcPr>
          <w:p>
            <w:r/>
            <w:r>
              <w:rPr>
                <w:rFonts w:ascii="Calibri" w:hAnsi="Calibri"/>
                <w:b w:val="0"/>
                <w:i w:val="0"/>
                <w:color w:val="202020"/>
                <w:sz w:val="20"/>
              </w:rPr>
              <w:t>+25,6</w:t>
            </w:r>
          </w:p>
        </w:tc>
        <w:tc>
          <w:tcPr>
            <w:tcW w:type="dxa" w:w="1392"/>
          </w:tcPr>
          <w:p>
            <w:r/>
            <w:r>
              <w:rPr>
                <w:rFonts w:ascii="Calibri" w:hAnsi="Calibri"/>
                <w:b w:val="0"/>
                <w:i w:val="0"/>
                <w:color w:val="202020"/>
                <w:sz w:val="20"/>
              </w:rPr>
              <w:t>+23-26</w:t>
            </w:r>
          </w:p>
        </w:tc>
      </w:tr>
    </w:tbl>
    <w:p/>
    <w:p>
      <w:pPr>
        <w:spacing w:after="40"/>
      </w:pPr>
      <w:r>
        <w:rPr>
          <w:rFonts w:ascii="Calibri" w:hAnsi="Calibri"/>
          <w:b/>
          <w:i w:val="0"/>
          <w:color w:val="1A2744"/>
          <w:sz w:val="20"/>
        </w:rPr>
        <w:t>Tableau 6. Indicateurs de domination US dans le compute IA (snapshot tableau de bord avril 2026).</w:t>
      </w:r>
    </w:p>
    <w:p>
      <w:pPr>
        <w:spacing w:after="80"/>
      </w:pPr>
      <w:r>
        <w:rPr>
          <w:rFonts w:ascii="Calibri" w:hAnsi="Calibri"/>
          <w:b w:val="0"/>
          <w:i/>
          <w:color w:val="555555"/>
          <w:sz w:val="18"/>
        </w:rPr>
        <w:t>Sources : Epoch AI GPU Clusters dataset avril 2026 ; AIE (2025) ; Sanchez/GeoCoded (2025).</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Indicateur</w:t>
            </w:r>
          </w:p>
        </w:tc>
        <w:tc>
          <w:tcPr>
            <w:tcW w:type="dxa" w:w="1949"/>
          </w:tcPr>
          <w:p>
            <w:r/>
            <w:r>
              <w:rPr>
                <w:rFonts w:ascii="Calibri" w:hAnsi="Calibri"/>
                <w:b/>
                <w:i w:val="0"/>
                <w:color w:val="1A2744"/>
                <w:sz w:val="20"/>
              </w:rPr>
              <w:t>Etats-Unis</w:t>
            </w:r>
          </w:p>
        </w:tc>
        <w:tc>
          <w:tcPr>
            <w:tcW w:type="dxa" w:w="1949"/>
          </w:tcPr>
          <w:p>
            <w:r/>
            <w:r>
              <w:rPr>
                <w:rFonts w:ascii="Calibri" w:hAnsi="Calibri"/>
                <w:b/>
                <w:i w:val="0"/>
                <w:color w:val="1A2744"/>
                <w:sz w:val="20"/>
              </w:rPr>
              <w:t>Chine</w:t>
            </w:r>
          </w:p>
        </w:tc>
        <w:tc>
          <w:tcPr>
            <w:tcW w:type="dxa" w:w="1949"/>
          </w:tcPr>
          <w:p>
            <w:r/>
            <w:r>
              <w:rPr>
                <w:rFonts w:ascii="Calibri" w:hAnsi="Calibri"/>
                <w:b/>
                <w:i w:val="0"/>
                <w:color w:val="1A2744"/>
                <w:sz w:val="20"/>
              </w:rPr>
              <w:t>UE(13)</w:t>
            </w:r>
          </w:p>
        </w:tc>
        <w:tc>
          <w:tcPr>
            <w:tcW w:type="dxa" w:w="1949"/>
          </w:tcPr>
          <w:p>
            <w:r/>
            <w:r>
              <w:rPr>
                <w:rFonts w:ascii="Calibri" w:hAnsi="Calibri"/>
                <w:b/>
                <w:i w:val="0"/>
                <w:color w:val="1A2744"/>
                <w:sz w:val="20"/>
              </w:rPr>
              <w:t>Ratio US/UE</w:t>
            </w:r>
          </w:p>
        </w:tc>
      </w:tr>
      <w:tr>
        <w:tc>
          <w:tcPr>
            <w:tcW w:type="dxa" w:w="1949"/>
          </w:tcPr>
          <w:p>
            <w:r/>
            <w:r>
              <w:rPr>
                <w:rFonts w:ascii="Calibri" w:hAnsi="Calibri"/>
                <w:b w:val="0"/>
                <w:i w:val="0"/>
                <w:color w:val="202020"/>
                <w:sz w:val="20"/>
              </w:rPr>
              <w:t>Part H100-eq operationnel</w:t>
            </w:r>
          </w:p>
        </w:tc>
        <w:tc>
          <w:tcPr>
            <w:tcW w:type="dxa" w:w="1949"/>
          </w:tcPr>
          <w:p>
            <w:r/>
            <w:r>
              <w:rPr>
                <w:rFonts w:ascii="Calibri" w:hAnsi="Calibri"/>
                <w:b w:val="0"/>
                <w:i w:val="0"/>
                <w:color w:val="202020"/>
                <w:sz w:val="20"/>
              </w:rPr>
              <w:t>78,9 pct</w:t>
            </w:r>
          </w:p>
        </w:tc>
        <w:tc>
          <w:tcPr>
            <w:tcW w:type="dxa" w:w="1949"/>
          </w:tcPr>
          <w:p>
            <w:r/>
            <w:r>
              <w:rPr>
                <w:rFonts w:ascii="Calibri" w:hAnsi="Calibri"/>
                <w:b w:val="0"/>
                <w:i w:val="0"/>
                <w:color w:val="202020"/>
                <w:sz w:val="20"/>
              </w:rPr>
              <w:t>12,8 pct</w:t>
            </w:r>
          </w:p>
        </w:tc>
        <w:tc>
          <w:tcPr>
            <w:tcW w:type="dxa" w:w="1949"/>
          </w:tcPr>
          <w:p>
            <w:r/>
            <w:r>
              <w:rPr>
                <w:rFonts w:ascii="Calibri" w:hAnsi="Calibri"/>
                <w:b w:val="0"/>
                <w:i w:val="0"/>
                <w:color w:val="202020"/>
                <w:sz w:val="20"/>
              </w:rPr>
              <w:t>4,4 pct</w:t>
            </w:r>
          </w:p>
        </w:tc>
        <w:tc>
          <w:tcPr>
            <w:tcW w:type="dxa" w:w="1949"/>
          </w:tcPr>
          <w:p>
            <w:r/>
            <w:r>
              <w:rPr>
                <w:rFonts w:ascii="Calibri" w:hAnsi="Calibri"/>
                <w:b w:val="0"/>
                <w:i w:val="0"/>
                <w:color w:val="202020"/>
                <w:sz w:val="20"/>
              </w:rPr>
              <w:t>17,6:1</w:t>
            </w:r>
          </w:p>
        </w:tc>
      </w:tr>
      <w:tr>
        <w:tc>
          <w:tcPr>
            <w:tcW w:type="dxa" w:w="1949"/>
          </w:tcPr>
          <w:p>
            <w:r/>
            <w:r>
              <w:rPr>
                <w:rFonts w:ascii="Calibri" w:hAnsi="Calibri"/>
                <w:b w:val="0"/>
                <w:i w:val="0"/>
                <w:color w:val="202020"/>
                <w:sz w:val="20"/>
              </w:rPr>
              <w:t>Part F_total (op + planifie)</w:t>
            </w:r>
          </w:p>
        </w:tc>
        <w:tc>
          <w:tcPr>
            <w:tcW w:type="dxa" w:w="1949"/>
          </w:tcPr>
          <w:p>
            <w:r/>
            <w:r>
              <w:rPr>
                <w:rFonts w:ascii="Calibri" w:hAnsi="Calibri"/>
                <w:b w:val="0"/>
                <w:i w:val="0"/>
                <w:color w:val="202020"/>
                <w:sz w:val="20"/>
              </w:rPr>
              <w:t>49,9 pct</w:t>
            </w:r>
          </w:p>
        </w:tc>
        <w:tc>
          <w:tcPr>
            <w:tcW w:type="dxa" w:w="1949"/>
          </w:tcPr>
          <w:p>
            <w:r/>
            <w:r>
              <w:rPr>
                <w:rFonts w:ascii="Calibri" w:hAnsi="Calibri"/>
                <w:b w:val="0"/>
                <w:i w:val="0"/>
                <w:color w:val="202020"/>
                <w:sz w:val="20"/>
              </w:rPr>
              <w:t>0,5 pct</w:t>
            </w:r>
          </w:p>
        </w:tc>
        <w:tc>
          <w:tcPr>
            <w:tcW w:type="dxa" w:w="1949"/>
          </w:tcPr>
          <w:p>
            <w:r/>
            <w:r>
              <w:rPr>
                <w:rFonts w:ascii="Calibri" w:hAnsi="Calibri"/>
                <w:b w:val="0"/>
                <w:i w:val="0"/>
                <w:color w:val="202020"/>
                <w:sz w:val="20"/>
              </w:rPr>
              <w:t>3,3 pct</w:t>
            </w:r>
          </w:p>
        </w:tc>
        <w:tc>
          <w:tcPr>
            <w:tcW w:type="dxa" w:w="1949"/>
          </w:tcPr>
          <w:p>
            <w:r/>
            <w:r>
              <w:rPr>
                <w:rFonts w:ascii="Calibri" w:hAnsi="Calibri"/>
                <w:b w:val="0"/>
                <w:i w:val="0"/>
                <w:color w:val="202020"/>
                <w:sz w:val="20"/>
              </w:rPr>
              <w:t>15,1:1</w:t>
            </w:r>
          </w:p>
        </w:tc>
      </w:tr>
      <w:tr>
        <w:tc>
          <w:tcPr>
            <w:tcW w:type="dxa" w:w="1949"/>
          </w:tcPr>
          <w:p>
            <w:r/>
            <w:r>
              <w:rPr>
                <w:rFonts w:ascii="Calibri" w:hAnsi="Calibri"/>
                <w:b w:val="0"/>
                <w:i w:val="0"/>
                <w:color w:val="202020"/>
                <w:sz w:val="20"/>
              </w:rPr>
              <w:t>Part secteur prive (2025)</w:t>
            </w:r>
          </w:p>
        </w:tc>
        <w:tc>
          <w:tcPr>
            <w:tcW w:type="dxa" w:w="1949"/>
          </w:tcPr>
          <w:p>
            <w:r/>
            <w:r>
              <w:rPr>
                <w:rFonts w:ascii="Calibri" w:hAnsi="Calibri"/>
                <w:b w:val="0"/>
                <w:i w:val="0"/>
                <w:color w:val="202020"/>
                <w:sz w:val="20"/>
              </w:rPr>
              <w:t>~65 pct mondial</w:t>
            </w:r>
          </w:p>
        </w:tc>
        <w:tc>
          <w:tcPr>
            <w:tcW w:type="dxa" w:w="1949"/>
          </w:tcPr>
          <w:p>
            <w:r/>
            <w:r>
              <w:rPr>
                <w:rFonts w:ascii="Calibri" w:hAnsi="Calibri"/>
                <w:b w:val="0"/>
                <w:i w:val="0"/>
                <w:color w:val="202020"/>
                <w:sz w:val="20"/>
              </w:rPr>
              <w:t>~12 pct</w:t>
            </w:r>
          </w:p>
        </w:tc>
        <w:tc>
          <w:tcPr>
            <w:tcW w:type="dxa" w:w="1949"/>
          </w:tcPr>
          <w:p>
            <w:r/>
            <w:r>
              <w:rPr>
                <w:rFonts w:ascii="Calibri" w:hAnsi="Calibri"/>
                <w:b w:val="0"/>
                <w:i w:val="0"/>
                <w:color w:val="202020"/>
                <w:sz w:val="20"/>
              </w:rPr>
              <w:t>~3 pct</w:t>
            </w:r>
          </w:p>
        </w:tc>
        <w:tc>
          <w:tcPr>
            <w:tcW w:type="dxa" w:w="1949"/>
          </w:tcPr>
          <w:p>
            <w:r/>
            <w:r>
              <w:rPr>
                <w:rFonts w:ascii="Calibri" w:hAnsi="Calibri"/>
                <w:b w:val="0"/>
                <w:i w:val="0"/>
                <w:color w:val="202020"/>
                <w:sz w:val="20"/>
              </w:rPr>
              <w:t>~22:1</w:t>
            </w:r>
          </w:p>
        </w:tc>
      </w:tr>
      <w:tr>
        <w:tc>
          <w:tcPr>
            <w:tcW w:type="dxa" w:w="1949"/>
          </w:tcPr>
          <w:p>
            <w:r/>
            <w:r>
              <w:rPr>
                <w:rFonts w:ascii="Calibri" w:hAnsi="Calibri"/>
                <w:b w:val="0"/>
                <w:i w:val="0"/>
                <w:color w:val="202020"/>
                <w:sz w:val="20"/>
              </w:rPr>
              <w:t>Conso centres de donnees 2024</w:t>
            </w:r>
          </w:p>
        </w:tc>
        <w:tc>
          <w:tcPr>
            <w:tcW w:type="dxa" w:w="1949"/>
          </w:tcPr>
          <w:p>
            <w:r/>
            <w:r>
              <w:rPr>
                <w:rFonts w:ascii="Calibri" w:hAnsi="Calibri"/>
                <w:b w:val="0"/>
                <w:i w:val="0"/>
                <w:color w:val="202020"/>
                <w:sz w:val="20"/>
              </w:rPr>
              <w:t>180 TWh</w:t>
            </w:r>
          </w:p>
        </w:tc>
        <w:tc>
          <w:tcPr>
            <w:tcW w:type="dxa" w:w="1949"/>
          </w:tcPr>
          <w:p>
            <w:r/>
            <w:r>
              <w:rPr>
                <w:rFonts w:ascii="Calibri" w:hAnsi="Calibri"/>
                <w:b w:val="0"/>
                <w:i w:val="0"/>
                <w:color w:val="202020"/>
                <w:sz w:val="20"/>
              </w:rPr>
              <w:t>102 TWh</w:t>
            </w:r>
          </w:p>
        </w:tc>
        <w:tc>
          <w:tcPr>
            <w:tcW w:type="dxa" w:w="1949"/>
          </w:tcPr>
          <w:p>
            <w:r/>
            <w:r>
              <w:rPr>
                <w:rFonts w:ascii="Calibri" w:hAnsi="Calibri"/>
                <w:b w:val="0"/>
                <w:i w:val="0"/>
                <w:color w:val="202020"/>
                <w:sz w:val="20"/>
              </w:rPr>
              <w:t>70 TWh</w:t>
            </w:r>
          </w:p>
        </w:tc>
        <w:tc>
          <w:tcPr>
            <w:tcW w:type="dxa" w:w="1949"/>
          </w:tcPr>
          <w:p>
            <w:r/>
            <w:r>
              <w:rPr>
                <w:rFonts w:ascii="Calibri" w:hAnsi="Calibri"/>
                <w:b w:val="0"/>
                <w:i w:val="0"/>
                <w:color w:val="202020"/>
                <w:sz w:val="20"/>
              </w:rPr>
              <w:t>2,6:1</w:t>
            </w:r>
          </w:p>
        </w:tc>
      </w:tr>
      <w:tr>
        <w:tc>
          <w:tcPr>
            <w:tcW w:type="dxa" w:w="1949"/>
          </w:tcPr>
          <w:p>
            <w:r/>
            <w:r>
              <w:rPr>
                <w:rFonts w:ascii="Calibri" w:hAnsi="Calibri"/>
                <w:b w:val="0"/>
                <w:i w:val="0"/>
                <w:color w:val="202020"/>
                <w:sz w:val="20"/>
              </w:rPr>
              <w:t>Investissement IA 2025</w:t>
            </w:r>
          </w:p>
        </w:tc>
        <w:tc>
          <w:tcPr>
            <w:tcW w:type="dxa" w:w="1949"/>
          </w:tcPr>
          <w:p>
            <w:r/>
            <w:r>
              <w:rPr>
                <w:rFonts w:ascii="Calibri" w:hAnsi="Calibri"/>
                <w:b w:val="0"/>
                <w:i w:val="0"/>
                <w:color w:val="202020"/>
                <w:sz w:val="20"/>
              </w:rPr>
              <w:t>320 mds USD (5 Big Tech)</w:t>
            </w:r>
          </w:p>
        </w:tc>
        <w:tc>
          <w:tcPr>
            <w:tcW w:type="dxa" w:w="1949"/>
          </w:tcPr>
          <w:p>
            <w:r/>
            <w:r>
              <w:rPr>
                <w:rFonts w:ascii="Calibri" w:hAnsi="Calibri"/>
                <w:b w:val="0"/>
                <w:i w:val="0"/>
                <w:color w:val="202020"/>
                <w:sz w:val="20"/>
              </w:rPr>
              <w:t>n.d.</w:t>
            </w:r>
          </w:p>
        </w:tc>
        <w:tc>
          <w:tcPr>
            <w:tcW w:type="dxa" w:w="1949"/>
          </w:tcPr>
          <w:p>
            <w:r/>
            <w:r>
              <w:rPr>
                <w:rFonts w:ascii="Calibri" w:hAnsi="Calibri"/>
                <w:b w:val="0"/>
                <w:i w:val="0"/>
                <w:color w:val="202020"/>
                <w:sz w:val="20"/>
              </w:rPr>
              <w:t>~20 mds EUR (UE total)</w:t>
            </w:r>
          </w:p>
        </w:tc>
        <w:tc>
          <w:tcPr>
            <w:tcW w:type="dxa" w:w="1949"/>
          </w:tcPr>
          <w:p>
            <w:r/>
            <w:r>
              <w:rPr>
                <w:rFonts w:ascii="Calibri" w:hAnsi="Calibri"/>
                <w:b w:val="0"/>
                <w:i w:val="0"/>
                <w:color w:val="202020"/>
                <w:sz w:val="20"/>
              </w:rPr>
              <w:t>&gt;15:1</w:t>
            </w:r>
          </w:p>
        </w:tc>
      </w:tr>
      <w:tr>
        <w:tc>
          <w:tcPr>
            <w:tcW w:type="dxa" w:w="1949"/>
          </w:tcPr>
          <w:p>
            <w:r/>
            <w:r>
              <w:rPr>
                <w:rFonts w:ascii="Calibri" w:hAnsi="Calibri"/>
                <w:b w:val="0"/>
                <w:i w:val="0"/>
                <w:color w:val="202020"/>
                <w:sz w:val="20"/>
              </w:rPr>
              <w:t>CACI Power Mode (avril 2026)</w:t>
            </w:r>
          </w:p>
        </w:tc>
        <w:tc>
          <w:tcPr>
            <w:tcW w:type="dxa" w:w="1949"/>
          </w:tcPr>
          <w:p>
            <w:r/>
            <w:r>
              <w:rPr>
                <w:rFonts w:ascii="Calibri" w:hAnsi="Calibri"/>
                <w:b w:val="0"/>
                <w:i w:val="0"/>
                <w:color w:val="202020"/>
                <w:sz w:val="20"/>
              </w:rPr>
              <w:t>100</w:t>
            </w:r>
          </w:p>
        </w:tc>
        <w:tc>
          <w:tcPr>
            <w:tcW w:type="dxa" w:w="1949"/>
          </w:tcPr>
          <w:p>
            <w:r/>
            <w:r>
              <w:rPr>
                <w:rFonts w:ascii="Calibri" w:hAnsi="Calibri"/>
                <w:b w:val="0"/>
                <w:i w:val="0"/>
                <w:color w:val="202020"/>
                <w:sz w:val="20"/>
              </w:rPr>
              <w:t>38,4</w:t>
            </w:r>
          </w:p>
        </w:tc>
        <w:tc>
          <w:tcPr>
            <w:tcW w:type="dxa" w:w="1949"/>
          </w:tcPr>
          <w:p>
            <w:r/>
            <w:r>
              <w:rPr>
                <w:rFonts w:ascii="Calibri" w:hAnsi="Calibri"/>
                <w:b w:val="0"/>
                <w:i w:val="0"/>
                <w:color w:val="202020"/>
                <w:sz w:val="20"/>
              </w:rPr>
              <w:t>28,8</w:t>
            </w:r>
          </w:p>
        </w:tc>
        <w:tc>
          <w:tcPr>
            <w:tcW w:type="dxa" w:w="1949"/>
          </w:tcPr>
          <w:p>
            <w:r/>
            <w:r>
              <w:rPr>
                <w:rFonts w:ascii="Calibri" w:hAnsi="Calibri"/>
                <w:b w:val="0"/>
                <w:i w:val="0"/>
                <w:color w:val="202020"/>
                <w:sz w:val="20"/>
              </w:rPr>
              <w:t>3,47:1</w:t>
            </w:r>
          </w:p>
        </w:tc>
      </w:tr>
    </w:tbl>
    <w:p/>
    <w:p>
      <w:pPr>
        <w:spacing w:after="40"/>
      </w:pPr>
      <w:r>
        <w:rPr>
          <w:rFonts w:ascii="Calibri" w:hAnsi="Calibri"/>
          <w:b/>
          <w:i w:val="0"/>
          <w:color w:val="1A2744"/>
          <w:sz w:val="20"/>
        </w:rPr>
        <w:t>Tableau 7. Chronologie des mesures reglementaires americaines sur les semi-conducteurs et l'IA (2022-2026).</w:t>
      </w:r>
    </w:p>
    <w:p>
      <w:pPr>
        <w:spacing w:after="80"/>
      </w:pPr>
      <w:r>
        <w:rPr>
          <w:rFonts w:ascii="Calibri" w:hAnsi="Calibri"/>
          <w:b w:val="0"/>
          <w:i/>
          <w:color w:val="555555"/>
          <w:sz w:val="18"/>
        </w:rPr>
        <w:t>Sources : BIS, Maison-Blanche, Pillsbury Law (2026), Gibson Dunn (2026).</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Date</w:t>
            </w:r>
          </w:p>
        </w:tc>
        <w:tc>
          <w:tcPr>
            <w:tcW w:type="dxa" w:w="2436"/>
          </w:tcPr>
          <w:p>
            <w:r/>
            <w:r>
              <w:rPr>
                <w:rFonts w:ascii="Calibri" w:hAnsi="Calibri"/>
                <w:b/>
                <w:i w:val="0"/>
                <w:color w:val="1A2744"/>
                <w:sz w:val="20"/>
              </w:rPr>
              <w:t>Admin.</w:t>
            </w:r>
          </w:p>
        </w:tc>
        <w:tc>
          <w:tcPr>
            <w:tcW w:type="dxa" w:w="2436"/>
          </w:tcPr>
          <w:p>
            <w:r/>
            <w:r>
              <w:rPr>
                <w:rFonts w:ascii="Calibri" w:hAnsi="Calibri"/>
                <w:b/>
                <w:i w:val="0"/>
                <w:color w:val="1A2744"/>
                <w:sz w:val="20"/>
              </w:rPr>
              <w:t>Mesure</w:t>
            </w:r>
          </w:p>
        </w:tc>
        <w:tc>
          <w:tcPr>
            <w:tcW w:type="dxa" w:w="2436"/>
          </w:tcPr>
          <w:p>
            <w:r/>
            <w:r>
              <w:rPr>
                <w:rFonts w:ascii="Calibri" w:hAnsi="Calibri"/>
                <w:b/>
                <w:i w:val="0"/>
                <w:color w:val="1A2744"/>
                <w:sz w:val="20"/>
              </w:rPr>
              <w:t>Perimetre / Cible</w:t>
            </w:r>
          </w:p>
        </w:tc>
      </w:tr>
      <w:tr>
        <w:tc>
          <w:tcPr>
            <w:tcW w:type="dxa" w:w="2436"/>
          </w:tcPr>
          <w:p>
            <w:r/>
            <w:r>
              <w:rPr>
                <w:rFonts w:ascii="Calibri" w:hAnsi="Calibri"/>
                <w:b w:val="0"/>
                <w:i w:val="0"/>
                <w:color w:val="202020"/>
                <w:sz w:val="20"/>
              </w:rPr>
              <w:t>Oct. 2022</w:t>
            </w:r>
          </w:p>
        </w:tc>
        <w:tc>
          <w:tcPr>
            <w:tcW w:type="dxa" w:w="2436"/>
          </w:tcPr>
          <w:p>
            <w:r/>
            <w:r>
              <w:rPr>
                <w:rFonts w:ascii="Calibri" w:hAnsi="Calibri"/>
                <w:b w:val="0"/>
                <w:i w:val="0"/>
                <w:color w:val="202020"/>
                <w:sz w:val="20"/>
              </w:rPr>
              <w:t>Biden</w:t>
            </w:r>
          </w:p>
        </w:tc>
        <w:tc>
          <w:tcPr>
            <w:tcW w:type="dxa" w:w="2436"/>
          </w:tcPr>
          <w:p>
            <w:r/>
            <w:r>
              <w:rPr>
                <w:rFonts w:ascii="Calibri" w:hAnsi="Calibri"/>
                <w:b w:val="0"/>
                <w:i w:val="0"/>
                <w:color w:val="202020"/>
                <w:sz w:val="20"/>
              </w:rPr>
              <w:t>Controles export BIS : GPU avances, SME, US persons</w:t>
            </w:r>
          </w:p>
        </w:tc>
        <w:tc>
          <w:tcPr>
            <w:tcW w:type="dxa" w:w="2436"/>
          </w:tcPr>
          <w:p>
            <w:r/>
            <w:r>
              <w:rPr>
                <w:rFonts w:ascii="Calibri" w:hAnsi="Calibri"/>
                <w:b w:val="0"/>
                <w:i w:val="0"/>
                <w:color w:val="202020"/>
                <w:sz w:val="20"/>
              </w:rPr>
              <w:t>Chine (militaire)</w:t>
            </w:r>
          </w:p>
        </w:tc>
      </w:tr>
      <w:tr>
        <w:tc>
          <w:tcPr>
            <w:tcW w:type="dxa" w:w="2436"/>
          </w:tcPr>
          <w:p>
            <w:r/>
            <w:r>
              <w:rPr>
                <w:rFonts w:ascii="Calibri" w:hAnsi="Calibri"/>
                <w:b w:val="0"/>
                <w:i w:val="0"/>
                <w:color w:val="202020"/>
                <w:sz w:val="20"/>
              </w:rPr>
              <w:t>Oct. 2023</w:t>
            </w:r>
          </w:p>
        </w:tc>
        <w:tc>
          <w:tcPr>
            <w:tcW w:type="dxa" w:w="2436"/>
          </w:tcPr>
          <w:p>
            <w:r/>
            <w:r>
              <w:rPr>
                <w:rFonts w:ascii="Calibri" w:hAnsi="Calibri"/>
                <w:b w:val="0"/>
                <w:i w:val="0"/>
                <w:color w:val="202020"/>
                <w:sz w:val="20"/>
              </w:rPr>
              <w:t>Biden</w:t>
            </w:r>
          </w:p>
        </w:tc>
        <w:tc>
          <w:tcPr>
            <w:tcW w:type="dxa" w:w="2436"/>
          </w:tcPr>
          <w:p>
            <w:r/>
            <w:r>
              <w:rPr>
                <w:rFonts w:ascii="Calibri" w:hAnsi="Calibri"/>
                <w:b w:val="0"/>
                <w:i w:val="0"/>
                <w:color w:val="202020"/>
                <w:sz w:val="20"/>
              </w:rPr>
              <w:t>Renforcement seuils + extension 40 pays + HBM</w:t>
            </w:r>
          </w:p>
        </w:tc>
        <w:tc>
          <w:tcPr>
            <w:tcW w:type="dxa" w:w="2436"/>
          </w:tcPr>
          <w:p>
            <w:r/>
            <w:r>
              <w:rPr>
                <w:rFonts w:ascii="Calibri" w:hAnsi="Calibri"/>
                <w:b w:val="0"/>
                <w:i w:val="0"/>
                <w:color w:val="202020"/>
                <w:sz w:val="20"/>
              </w:rPr>
              <w:t>Chine + 40 pays (D:1/D:4/D:5)</w:t>
            </w:r>
          </w:p>
        </w:tc>
      </w:tr>
      <w:tr>
        <w:tc>
          <w:tcPr>
            <w:tcW w:type="dxa" w:w="2436"/>
          </w:tcPr>
          <w:p>
            <w:r/>
            <w:r>
              <w:rPr>
                <w:rFonts w:ascii="Calibri" w:hAnsi="Calibri"/>
                <w:b w:val="0"/>
                <w:i w:val="0"/>
                <w:color w:val="202020"/>
                <w:sz w:val="20"/>
              </w:rPr>
              <w:t>Dec. 2024</w:t>
            </w:r>
          </w:p>
        </w:tc>
        <w:tc>
          <w:tcPr>
            <w:tcW w:type="dxa" w:w="2436"/>
          </w:tcPr>
          <w:p>
            <w:r/>
            <w:r>
              <w:rPr>
                <w:rFonts w:ascii="Calibri" w:hAnsi="Calibri"/>
                <w:b w:val="0"/>
                <w:i w:val="0"/>
                <w:color w:val="202020"/>
                <w:sz w:val="20"/>
              </w:rPr>
              <w:t>Biden</w:t>
            </w:r>
          </w:p>
        </w:tc>
        <w:tc>
          <w:tcPr>
            <w:tcW w:type="dxa" w:w="2436"/>
          </w:tcPr>
          <w:p>
            <w:r/>
            <w:r>
              <w:rPr>
                <w:rFonts w:ascii="Calibri" w:hAnsi="Calibri"/>
                <w:b w:val="0"/>
                <w:i w:val="0"/>
                <w:color w:val="202020"/>
                <w:sz w:val="20"/>
              </w:rPr>
              <w:t>Vague 3 : 24 types SME, HBM, 140 entites, ECAD</w:t>
            </w:r>
          </w:p>
        </w:tc>
        <w:tc>
          <w:tcPr>
            <w:tcW w:type="dxa" w:w="2436"/>
          </w:tcPr>
          <w:p>
            <w:r/>
            <w:r>
              <w:rPr>
                <w:rFonts w:ascii="Calibri" w:hAnsi="Calibri"/>
                <w:b w:val="0"/>
                <w:i w:val="0"/>
                <w:color w:val="202020"/>
                <w:sz w:val="20"/>
              </w:rPr>
              <w:t>Chine (chaine complete)</w:t>
            </w:r>
          </w:p>
        </w:tc>
      </w:tr>
      <w:tr>
        <w:tc>
          <w:tcPr>
            <w:tcW w:type="dxa" w:w="2436"/>
          </w:tcPr>
          <w:p>
            <w:r/>
            <w:r>
              <w:rPr>
                <w:rFonts w:ascii="Calibri" w:hAnsi="Calibri"/>
                <w:b w:val="0"/>
                <w:i w:val="0"/>
                <w:color w:val="202020"/>
                <w:sz w:val="20"/>
              </w:rPr>
              <w:t>Jan. 2025</w:t>
            </w:r>
          </w:p>
        </w:tc>
        <w:tc>
          <w:tcPr>
            <w:tcW w:type="dxa" w:w="2436"/>
          </w:tcPr>
          <w:p>
            <w:r/>
            <w:r>
              <w:rPr>
                <w:rFonts w:ascii="Calibri" w:hAnsi="Calibri"/>
                <w:b w:val="0"/>
                <w:i w:val="0"/>
                <w:color w:val="202020"/>
                <w:sz w:val="20"/>
              </w:rPr>
              <w:t>Biden</w:t>
            </w:r>
          </w:p>
        </w:tc>
        <w:tc>
          <w:tcPr>
            <w:tcW w:type="dxa" w:w="2436"/>
          </w:tcPr>
          <w:p>
            <w:r/>
            <w:r>
              <w:rPr>
                <w:rFonts w:ascii="Calibri" w:hAnsi="Calibri"/>
                <w:b w:val="0"/>
                <w:i w:val="0"/>
                <w:color w:val="202020"/>
                <w:sz w:val="20"/>
              </w:rPr>
              <w:t>AI Diffusion Rule : poids modeles, cloud, 3 paliers pays</w:t>
            </w:r>
          </w:p>
        </w:tc>
        <w:tc>
          <w:tcPr>
            <w:tcW w:type="dxa" w:w="2436"/>
          </w:tcPr>
          <w:p>
            <w:r/>
            <w:r>
              <w:rPr>
                <w:rFonts w:ascii="Calibri" w:hAnsi="Calibri"/>
                <w:b w:val="0"/>
                <w:i w:val="0"/>
                <w:color w:val="202020"/>
                <w:sz w:val="20"/>
              </w:rPr>
              <w:t>120+ pays (effets UE inclus)</w:t>
            </w:r>
          </w:p>
        </w:tc>
      </w:tr>
      <w:tr>
        <w:tc>
          <w:tcPr>
            <w:tcW w:type="dxa" w:w="2436"/>
          </w:tcPr>
          <w:p>
            <w:r/>
            <w:r>
              <w:rPr>
                <w:rFonts w:ascii="Calibri" w:hAnsi="Calibri"/>
                <w:b w:val="0"/>
                <w:i w:val="0"/>
                <w:color w:val="202020"/>
                <w:sz w:val="20"/>
              </w:rPr>
              <w:t>Jul. 2025</w:t>
            </w:r>
          </w:p>
        </w:tc>
        <w:tc>
          <w:tcPr>
            <w:tcW w:type="dxa" w:w="2436"/>
          </w:tcPr>
          <w:p>
            <w:r/>
            <w:r>
              <w:rPr>
                <w:rFonts w:ascii="Calibri" w:hAnsi="Calibri"/>
                <w:b w:val="0"/>
                <w:i w:val="0"/>
                <w:color w:val="202020"/>
                <w:sz w:val="20"/>
              </w:rPr>
              <w:t>Trump</w:t>
            </w:r>
          </w:p>
        </w:tc>
        <w:tc>
          <w:tcPr>
            <w:tcW w:type="dxa" w:w="2436"/>
          </w:tcPr>
          <w:p>
            <w:r/>
            <w:r>
              <w:rPr>
                <w:rFonts w:ascii="Calibri" w:hAnsi="Calibri"/>
                <w:b w:val="0"/>
                <w:i w:val="0"/>
                <w:color w:val="202020"/>
                <w:sz w:val="20"/>
              </w:rPr>
              <w:t>America's AI Action Plan : dereglementation, US compute</w:t>
            </w:r>
          </w:p>
        </w:tc>
        <w:tc>
          <w:tcPr>
            <w:tcW w:type="dxa" w:w="2436"/>
          </w:tcPr>
          <w:p>
            <w:r/>
            <w:r>
              <w:rPr>
                <w:rFonts w:ascii="Calibri" w:hAnsi="Calibri"/>
                <w:b w:val="0"/>
                <w:i w:val="0"/>
                <w:color w:val="202020"/>
                <w:sz w:val="20"/>
              </w:rPr>
              <w:t>USA (strategie domestique)</w:t>
            </w:r>
          </w:p>
        </w:tc>
      </w:tr>
      <w:tr>
        <w:tc>
          <w:tcPr>
            <w:tcW w:type="dxa" w:w="2436"/>
          </w:tcPr>
          <w:p>
            <w:r/>
            <w:r>
              <w:rPr>
                <w:rFonts w:ascii="Calibri" w:hAnsi="Calibri"/>
                <w:b w:val="0"/>
                <w:i w:val="0"/>
                <w:color w:val="202020"/>
                <w:sz w:val="20"/>
              </w:rPr>
              <w:t>Sep. 2025</w:t>
            </w:r>
          </w:p>
        </w:tc>
        <w:tc>
          <w:tcPr>
            <w:tcW w:type="dxa" w:w="2436"/>
          </w:tcPr>
          <w:p>
            <w:r/>
            <w:r>
              <w:rPr>
                <w:rFonts w:ascii="Calibri" w:hAnsi="Calibri"/>
                <w:b w:val="0"/>
                <w:i w:val="0"/>
                <w:color w:val="202020"/>
                <w:sz w:val="20"/>
              </w:rPr>
              <w:t>Trump</w:t>
            </w:r>
          </w:p>
        </w:tc>
        <w:tc>
          <w:tcPr>
            <w:tcW w:type="dxa" w:w="2436"/>
          </w:tcPr>
          <w:p>
            <w:r/>
            <w:r>
              <w:rPr>
                <w:rFonts w:ascii="Calibri" w:hAnsi="Calibri"/>
                <w:b w:val="0"/>
                <w:i w:val="0"/>
                <w:color w:val="202020"/>
                <w:sz w:val="20"/>
              </w:rPr>
              <w:t>Annonce : ventes Chine autorisees contre 25 pct revenus</w:t>
            </w:r>
          </w:p>
        </w:tc>
        <w:tc>
          <w:tcPr>
            <w:tcW w:type="dxa" w:w="2436"/>
          </w:tcPr>
          <w:p>
            <w:r/>
            <w:r>
              <w:rPr>
                <w:rFonts w:ascii="Calibri" w:hAnsi="Calibri"/>
                <w:b w:val="0"/>
                <w:i w:val="0"/>
                <w:color w:val="202020"/>
                <w:sz w:val="20"/>
              </w:rPr>
              <w:t>Chine (monetisation)</w:t>
            </w:r>
          </w:p>
        </w:tc>
      </w:tr>
      <w:tr>
        <w:tc>
          <w:tcPr>
            <w:tcW w:type="dxa" w:w="2436"/>
          </w:tcPr>
          <w:p>
            <w:r/>
            <w:r>
              <w:rPr>
                <w:rFonts w:ascii="Calibri" w:hAnsi="Calibri"/>
                <w:b w:val="0"/>
                <w:i w:val="0"/>
                <w:color w:val="202020"/>
                <w:sz w:val="20"/>
              </w:rPr>
              <w:t>Jan. 2026</w:t>
            </w:r>
          </w:p>
        </w:tc>
        <w:tc>
          <w:tcPr>
            <w:tcW w:type="dxa" w:w="2436"/>
          </w:tcPr>
          <w:p>
            <w:r/>
            <w:r>
              <w:rPr>
                <w:rFonts w:ascii="Calibri" w:hAnsi="Calibri"/>
                <w:b w:val="0"/>
                <w:i w:val="0"/>
                <w:color w:val="202020"/>
                <w:sz w:val="20"/>
              </w:rPr>
              <w:t>Trump</w:t>
            </w:r>
          </w:p>
        </w:tc>
        <w:tc>
          <w:tcPr>
            <w:tcW w:type="dxa" w:w="2436"/>
          </w:tcPr>
          <w:p>
            <w:r/>
            <w:r>
              <w:rPr>
                <w:rFonts w:ascii="Calibri" w:hAnsi="Calibri"/>
                <w:b w:val="0"/>
                <w:i w:val="0"/>
                <w:color w:val="202020"/>
                <w:sz w:val="20"/>
              </w:rPr>
              <w:t>Section 232 : tarif 25 pct GPU avances + licence BIS Chine</w:t>
            </w:r>
          </w:p>
        </w:tc>
        <w:tc>
          <w:tcPr>
            <w:tcW w:type="dxa" w:w="2436"/>
          </w:tcPr>
          <w:p>
            <w:r/>
            <w:r>
              <w:rPr>
                <w:rFonts w:ascii="Calibri" w:hAnsi="Calibri"/>
                <w:b w:val="0"/>
                <w:i w:val="0"/>
                <w:color w:val="202020"/>
                <w:sz w:val="20"/>
              </w:rPr>
              <w:t>Mondial (exemption domestique US)</w:t>
            </w:r>
          </w:p>
        </w:tc>
      </w:tr>
    </w:tbl>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IEA (2025), Energy and AI, Paris, IEA. https://www.iea.org/reports/energy-and-ai. The 415 TWh figure includes all data centers (cloud, enterprise, colocation), not just AI-dedicated data centers. The IEA notes that consumption has grown by 12 percent per year since 2017.</w:t>
      </w:r>
    </w:p>
    <w:p>
      <w:pPr>
        <w:spacing w:after="80" w:line="276" w:lineRule="auto"/>
      </w:pPr>
      <w:r>
        <w:rPr>
          <w:rFonts w:ascii="Calibri" w:hAnsi="Calibri"/>
          <w:b/>
          <w:i w:val="0"/>
          <w:color w:val="B8922F"/>
          <w:sz w:val="18"/>
        </w:rPr>
        <w:t xml:space="preserve">2. </w:t>
      </w:r>
      <w:r>
        <w:rPr>
          <w:rFonts w:ascii="Calibri" w:hAnsi="Calibri"/>
          <w:b w:val="0"/>
          <w:i w:val="0"/>
          <w:color w:val="555555"/>
          <w:sz w:val="18"/>
        </w:rPr>
        <w:t>IEA (2025), op. cit., chapter 'Energy demand from AI.' European Commission (November 2025), 'In Focus: Data Centres - An Energy-Hungry Challenge,' energy.ec.europa.eu. The 70 TWh figure for the EU is an IEA estimate in the absence of precise consumption data.</w:t>
      </w:r>
    </w:p>
    <w:p>
      <w:pPr>
        <w:spacing w:after="80" w:line="276" w:lineRule="auto"/>
      </w:pPr>
      <w:r>
        <w:rPr>
          <w:rFonts w:ascii="Calibri" w:hAnsi="Calibri"/>
          <w:b/>
          <w:i w:val="0"/>
          <w:color w:val="B8922F"/>
          <w:sz w:val="18"/>
        </w:rPr>
        <w:t xml:space="preserve">3. </w:t>
      </w:r>
      <w:r>
        <w:rPr>
          <w:rFonts w:ascii="Calibri" w:hAnsi="Calibri"/>
          <w:b w:val="0"/>
          <w:i w:val="0"/>
          <w:color w:val="555555"/>
          <w:sz w:val="18"/>
        </w:rPr>
        <w:t>IEA (2025), op. cit.; Carbon Brief (September 2025), 'AI: Five Charts that Put Data-Centre Energy Use - and Emissions - into Context.' The 35-50 percent range comes from a report prepared for the IEA (Kamiya and Coroama, 2025, IEA-4E).</w:t>
      </w:r>
    </w:p>
    <w:p>
      <w:pPr>
        <w:spacing w:after="80" w:line="276" w:lineRule="auto"/>
      </w:pPr>
      <w:r>
        <w:rPr>
          <w:rFonts w:ascii="Calibri" w:hAnsi="Calibri"/>
          <w:b/>
          <w:i w:val="0"/>
          <w:color w:val="B8922F"/>
          <w:sz w:val="18"/>
        </w:rPr>
        <w:t xml:space="preserve">4. </w:t>
      </w:r>
      <w:r>
        <w:rPr>
          <w:rFonts w:ascii="Calibri" w:hAnsi="Calibri"/>
          <w:b w:val="0"/>
          <w:i w:val="0"/>
          <w:color w:val="555555"/>
          <w:sz w:val="18"/>
        </w:rPr>
        <w:t>IEA (2025), op. cit. The IEA further notes that in its Headwinds scenario, global consumption would only reach 790 TWh, 40 percent less than the central scenario, illustrating the scale of uncertainty.</w:t>
      </w:r>
    </w:p>
    <w:p>
      <w:pPr>
        <w:spacing w:after="80" w:line="276" w:lineRule="auto"/>
      </w:pPr>
      <w:r>
        <w:rPr>
          <w:rFonts w:ascii="Calibri" w:hAnsi="Calibri"/>
          <w:b/>
          <w:i w:val="0"/>
          <w:color w:val="B8922F"/>
          <w:sz w:val="18"/>
        </w:rPr>
        <w:t xml:space="preserve">5. </w:t>
      </w:r>
      <w:r>
        <w:rPr>
          <w:rFonts w:ascii="Calibri" w:hAnsi="Calibri"/>
          <w:b w:val="0"/>
          <w:i w:val="0"/>
          <w:color w:val="555555"/>
          <w:sz w:val="18"/>
        </w:rPr>
        <w:t>Federal Reserve Board (October 2025), State of AI Competition in Advanced Economies. The report documents a significant correlation between industrial energy costs and AI adoption rates, particularly for large European companies. The PPA-adjusted reference values (USA 85, China 92, France 115, Germany 140, EU aggregate 135 USD/MWh) are documented on the public dashboard.</w:t>
      </w:r>
    </w:p>
    <w:p>
      <w:pPr>
        <w:spacing w:after="80" w:line="276" w:lineRule="auto"/>
      </w:pPr>
      <w:r>
        <w:rPr>
          <w:rFonts w:ascii="Calibri" w:hAnsi="Calibri"/>
          <w:b/>
          <w:i w:val="0"/>
          <w:color w:val="B8922F"/>
          <w:sz w:val="18"/>
        </w:rPr>
        <w:t xml:space="preserve">6. </w:t>
      </w:r>
      <w:r>
        <w:rPr>
          <w:rFonts w:ascii="Calibri" w:hAnsi="Calibri"/>
          <w:b w:val="0"/>
          <w:i w:val="0"/>
          <w:color w:val="555555"/>
          <w:sz w:val="18"/>
        </w:rPr>
        <w:t>IEA (2025), op. cit., chapter 'Case study: DeepSeek and efficiency gains.' The IEA concludes that algorithmic efficiency gains, while significant, tend to be absorbed by demand growth (Jevons paradox).</w:t>
      </w:r>
    </w:p>
    <w:p>
      <w:pPr>
        <w:spacing w:after="80" w:line="276" w:lineRule="auto"/>
      </w:pPr>
      <w:r>
        <w:rPr>
          <w:rFonts w:ascii="Calibri" w:hAnsi="Calibri"/>
          <w:b/>
          <w:i w:val="0"/>
          <w:color w:val="B8922F"/>
          <w:sz w:val="18"/>
        </w:rPr>
        <w:t xml:space="preserve">7. </w:t>
      </w:r>
      <w:r>
        <w:rPr>
          <w:rFonts w:ascii="Calibri" w:hAnsi="Calibri"/>
          <w:b w:val="0"/>
          <w:i w:val="0"/>
          <w:color w:val="555555"/>
          <w:sz w:val="18"/>
        </w:rPr>
        <w:t>SIA (February 2025, revised March 2025), 'Global Semiconductor Sales Increase 19.1 percent in 2024.' The initial figure of 627.6 billion USD was revised to 630.5 billion USD by the WSTS.</w:t>
      </w:r>
    </w:p>
    <w:p>
      <w:pPr>
        <w:spacing w:after="80" w:line="276" w:lineRule="auto"/>
      </w:pPr>
      <w:r>
        <w:rPr>
          <w:rFonts w:ascii="Calibri" w:hAnsi="Calibri"/>
          <w:b/>
          <w:i w:val="0"/>
          <w:color w:val="B8922F"/>
          <w:sz w:val="18"/>
        </w:rPr>
        <w:t xml:space="preserve">8. </w:t>
      </w:r>
      <w:r>
        <w:rPr>
          <w:rFonts w:ascii="Calibri" w:hAnsi="Calibri"/>
          <w:b w:val="0"/>
          <w:i w:val="0"/>
          <w:color w:val="555555"/>
          <w:sz w:val="18"/>
        </w:rPr>
        <w:t>SIA (February 2026), 'Global Annual Semiconductor Sales Increase 25.6 percent to 791.7 Billion USD in 2025.' Q4 2025 sales (236.6 billion USD) were 37.1 percent higher than Q4 2024, marking a notable acceleration.</w:t>
      </w:r>
    </w:p>
    <w:p>
      <w:pPr>
        <w:spacing w:after="80" w:line="276" w:lineRule="auto"/>
      </w:pPr>
      <w:r>
        <w:rPr>
          <w:rFonts w:ascii="Calibri" w:hAnsi="Calibri"/>
          <w:b/>
          <w:i w:val="0"/>
          <w:color w:val="B8922F"/>
          <w:sz w:val="18"/>
        </w:rPr>
        <w:t xml:space="preserve">9. </w:t>
      </w:r>
      <w:r>
        <w:rPr>
          <w:rFonts w:ascii="Calibri" w:hAnsi="Calibri"/>
          <w:b w:val="0"/>
          <w:i w:val="0"/>
          <w:color w:val="555555"/>
          <w:sz w:val="18"/>
        </w:rPr>
        <w:t>McKinsey (January 2026), 'Hiding in Plain Sight: The Semiconductor Industry Expanding Perimeter.' The gap with the SIA is explained by the inclusion of captive designers and vertically integrated fabless operators.</w:t>
      </w:r>
    </w:p>
    <w:p>
      <w:pPr>
        <w:spacing w:after="80" w:line="276" w:lineRule="auto"/>
      </w:pPr>
      <w:r>
        <w:rPr>
          <w:rFonts w:ascii="Calibri" w:hAnsi="Calibri"/>
          <w:b/>
          <w:i w:val="0"/>
          <w:color w:val="B8922F"/>
          <w:sz w:val="18"/>
        </w:rPr>
        <w:t xml:space="preserve">10. </w:t>
      </w:r>
      <w:r>
        <w:rPr>
          <w:rFonts w:ascii="Calibri" w:hAnsi="Calibri"/>
          <w:b w:val="0"/>
          <w:i w:val="0"/>
          <w:color w:val="555555"/>
          <w:sz w:val="18"/>
        </w:rPr>
        <w:t>SIA (July 2025), State of the U.S. Semiconductor Industry Report. The SIA notes that the Chips and Science Act has generated nearly 500 billion USD in announced private investment and is expected to create or support more than 500,000 jobs.</w:t>
      </w:r>
    </w:p>
    <w:p>
      <w:pPr>
        <w:spacing w:after="80" w:line="276" w:lineRule="auto"/>
      </w:pPr>
      <w:r>
        <w:rPr>
          <w:rFonts w:ascii="Calibri" w:hAnsi="Calibri"/>
          <w:b/>
          <w:i w:val="0"/>
          <w:color w:val="B8922F"/>
          <w:sz w:val="18"/>
        </w:rPr>
        <w:t xml:space="preserve">11. </w:t>
      </w:r>
      <w:r>
        <w:rPr>
          <w:rFonts w:ascii="Calibri" w:hAnsi="Calibri"/>
          <w:b w:val="0"/>
          <w:i w:val="0"/>
          <w:color w:val="555555"/>
          <w:sz w:val="18"/>
        </w:rPr>
        <w:t>Pilz, K.F., Rahman, R., Sanders, J. and Heim, L. (2025), 'Trends in AI Supercomputers,' arXiv:2504.16026. The dashboard refresh of April 2026 reaches 786 catalogued clusters, of which 609 are operational and 171 are planned, representing 10 to 20 percent of estimated global capacity.</w:t>
      </w:r>
    </w:p>
    <w:p>
      <w:pPr>
        <w:spacing w:after="80" w:line="276" w:lineRule="auto"/>
      </w:pPr>
      <w:r>
        <w:rPr>
          <w:rFonts w:ascii="Calibri" w:hAnsi="Calibri"/>
          <w:b/>
          <w:i w:val="0"/>
          <w:color w:val="B8922F"/>
          <w:sz w:val="18"/>
        </w:rPr>
        <w:t xml:space="preserve">12. </w:t>
      </w:r>
      <w:r>
        <w:rPr>
          <w:rFonts w:ascii="Calibri" w:hAnsi="Calibri"/>
          <w:b w:val="0"/>
          <w:i w:val="0"/>
          <w:color w:val="555555"/>
          <w:sz w:val="18"/>
        </w:rPr>
        <w:t>Sanchez, C. (2025), 'GeoCoded Special Report: State of Global AI Compute (2025 Edition),' Sanchez.vc. The May 2025 estimate cross-references Epoch AI and Georgetown University data and produced shares USA 74.5 / China 14.1 / EU 4.8. The April 2026 dashboard snapshot is based on the same data feed but with eleven additional months of cluster commissioning, which explains the small drift in shares.</w:t>
      </w:r>
    </w:p>
    <w:p>
      <w:pPr>
        <w:spacing w:after="80" w:line="276" w:lineRule="auto"/>
      </w:pPr>
      <w:r>
        <w:rPr>
          <w:rFonts w:ascii="Calibri" w:hAnsi="Calibri"/>
          <w:b/>
          <w:i w:val="0"/>
          <w:color w:val="B8922F"/>
          <w:sz w:val="18"/>
        </w:rPr>
        <w:t xml:space="preserve">13. </w:t>
      </w:r>
      <w:r>
        <w:rPr>
          <w:rFonts w:ascii="Calibri" w:hAnsi="Calibri"/>
          <w:b w:val="0"/>
          <w:i w:val="0"/>
          <w:color w:val="555555"/>
          <w:sz w:val="18"/>
        </w:rPr>
        <w:t>Pilz et al. (2025), op. cit. Leading AI supercomputer performance doubles every nine months, driven by a 1.6x per year increase in chip count and a 1.6x per year increase in per-chip performance.</w:t>
      </w:r>
    </w:p>
    <w:p>
      <w:pPr>
        <w:spacing w:after="80" w:line="276" w:lineRule="auto"/>
      </w:pPr>
      <w:r>
        <w:rPr>
          <w:rFonts w:ascii="Calibri" w:hAnsi="Calibri"/>
          <w:b/>
          <w:i w:val="0"/>
          <w:color w:val="B8922F"/>
          <w:sz w:val="18"/>
        </w:rPr>
        <w:t xml:space="preserve">14. </w:t>
      </w:r>
      <w:r>
        <w:rPr>
          <w:rFonts w:ascii="Calibri" w:hAnsi="Calibri"/>
          <w:b w:val="0"/>
          <w:i w:val="0"/>
          <w:color w:val="555555"/>
          <w:sz w:val="18"/>
        </w:rPr>
        <w:t>Epoch AI (January 2026), 'Global AI Power Capacity Is Now Comparable to Peak Power Usage of New York State.' The 30 GW estimate is based on quarterly AI chip sales x TDP x 2.5x infrastructure factor.</w:t>
      </w:r>
    </w:p>
    <w:p>
      <w:pPr>
        <w:spacing w:after="80" w:line="276" w:lineRule="auto"/>
      </w:pPr>
      <w:r>
        <w:rPr>
          <w:rFonts w:ascii="Calibri" w:hAnsi="Calibri"/>
          <w:b/>
          <w:i w:val="0"/>
          <w:color w:val="B8922F"/>
          <w:sz w:val="18"/>
        </w:rPr>
        <w:t xml:space="preserve">15. </w:t>
      </w:r>
      <w:r>
        <w:rPr>
          <w:rFonts w:ascii="Calibri" w:hAnsi="Calibri"/>
          <w:b w:val="0"/>
          <w:i w:val="0"/>
          <w:color w:val="555555"/>
          <w:sz w:val="18"/>
        </w:rPr>
        <w:t>BIS (October 7, 2022), 'Commerce Implements New Export Controls on Advanced Computing and Semiconductor Manufacturing Items to the People Republic of China,' Federal Register. See also GAO (2025), 'Export Controls: Commerce Implemented Advanced Semiconductor Rules,' GAO-25-107386.</w:t>
      </w:r>
    </w:p>
    <w:p>
      <w:pPr>
        <w:spacing w:after="80" w:line="276" w:lineRule="auto"/>
      </w:pPr>
      <w:r>
        <w:rPr>
          <w:rFonts w:ascii="Calibri" w:hAnsi="Calibri"/>
          <w:b/>
          <w:i w:val="0"/>
          <w:color w:val="B8922F"/>
          <w:sz w:val="18"/>
        </w:rPr>
        <w:t xml:space="preserve">16. </w:t>
      </w:r>
      <w:r>
        <w:rPr>
          <w:rFonts w:ascii="Calibri" w:hAnsi="Calibri"/>
          <w:b w:val="0"/>
          <w:i w:val="0"/>
          <w:color w:val="555555"/>
          <w:sz w:val="18"/>
        </w:rPr>
        <w:t>Skadden (October 2023), 'BIS Updates October 2022 Semiconductor Export Control Rules.' The new rules notably capture the A800 and H800, Nvidia chips specifically designed to fall just below the October 2022 thresholds.</w:t>
      </w:r>
    </w:p>
    <w:p>
      <w:pPr>
        <w:spacing w:after="80" w:line="276" w:lineRule="auto"/>
      </w:pPr>
      <w:r>
        <w:rPr>
          <w:rFonts w:ascii="Calibri" w:hAnsi="Calibri"/>
          <w:b/>
          <w:i w:val="0"/>
          <w:color w:val="B8922F"/>
          <w:sz w:val="18"/>
        </w:rPr>
        <w:t xml:space="preserve">17. </w:t>
      </w:r>
      <w:r>
        <w:rPr>
          <w:rFonts w:ascii="Calibri" w:hAnsi="Calibri"/>
          <w:b w:val="0"/>
          <w:i w:val="0"/>
          <w:color w:val="555555"/>
          <w:sz w:val="18"/>
        </w:rPr>
        <w:t>Carnegie Endowment (May 2025), Winter-Levy, H. and Phillips-Robins, A., 'What Is the AI Diffusion Rule?' The AI Diffusion Rule remained in effect only briefly before being partially replaced by the Trump approach, but it established the precedent of control over models and cloud, not just physical chips.</w:t>
      </w:r>
    </w:p>
    <w:p>
      <w:pPr>
        <w:spacing w:after="80" w:line="276" w:lineRule="auto"/>
      </w:pPr>
      <w:r>
        <w:rPr>
          <w:rFonts w:ascii="Calibri" w:hAnsi="Calibri"/>
          <w:b/>
          <w:i w:val="0"/>
          <w:color w:val="B8922F"/>
          <w:sz w:val="18"/>
        </w:rPr>
        <w:t xml:space="preserve">18. </w:t>
      </w:r>
      <w:r>
        <w:rPr>
          <w:rFonts w:ascii="Calibri" w:hAnsi="Calibri"/>
          <w:b w:val="0"/>
          <w:i w:val="0"/>
          <w:color w:val="555555"/>
          <w:sz w:val="18"/>
        </w:rPr>
        <w:t>White House (January 14, 2026), Presidential Proclamation 11002, 'Adjusting Imports of Semiconductors, Semiconductor Manufacturing Equipment, and Their Derivative Products into the United States.' The proclamation invokes Section 232 of the Trade Expansion Act of 1962 (19 U.S.C. 1862).</w:t>
      </w:r>
    </w:p>
    <w:p>
      <w:pPr>
        <w:spacing w:after="80" w:line="276" w:lineRule="auto"/>
      </w:pPr>
      <w:r>
        <w:rPr>
          <w:rFonts w:ascii="Calibri" w:hAnsi="Calibri"/>
          <w:b/>
          <w:i w:val="0"/>
          <w:color w:val="B8922F"/>
          <w:sz w:val="18"/>
        </w:rPr>
        <w:t xml:space="preserve">19. </w:t>
      </w:r>
      <w:r>
        <w:rPr>
          <w:rFonts w:ascii="Calibri" w:hAnsi="Calibri"/>
          <w:b w:val="0"/>
          <w:i w:val="0"/>
          <w:color w:val="555555"/>
          <w:sz w:val="18"/>
        </w:rPr>
        <w:t>Pillsbury Law (January 2026), 'Trump Admin Targets Advanced AI Semiconductors, Defers Broader Tariffs.' The legal analysis notes that the combination of Section 232 and the BIS rule of January 15, 2026 operationalizes the September 2025 announcement that the US government would collect 25 percent of AI chip sales to China.</w:t>
      </w:r>
    </w:p>
    <w:p>
      <w:pPr>
        <w:spacing w:after="80" w:line="276" w:lineRule="auto"/>
      </w:pPr>
      <w:r>
        <w:rPr>
          <w:rFonts w:ascii="Calibri" w:hAnsi="Calibri"/>
          <w:b/>
          <w:i w:val="0"/>
          <w:color w:val="B8922F"/>
          <w:sz w:val="18"/>
        </w:rPr>
        <w:t xml:space="preserve">20. </w:t>
      </w:r>
      <w:r>
        <w:rPr>
          <w:rFonts w:ascii="Calibri" w:hAnsi="Calibri"/>
          <w:b w:val="0"/>
          <w:i w:val="0"/>
          <w:color w:val="555555"/>
          <w:sz w:val="18"/>
        </w:rPr>
        <w:t>White House (January 14, 2026), Fact Sheet: 'President Donald J. Trump Takes Action on Certain Advanced Computing Chips to Protect America Economic and National Security.' Gibson Dunn (January 2026), 'The Trump Administration New Tariffs on and Export Licensing Requirements for Advanced Semiconductors.'</w:t>
      </w:r>
    </w:p>
    <w:p/>
    <w:p>
      <w:pPr>
        <w:spacing w:after="40"/>
        <w:jc w:val="left"/>
      </w:pPr>
      <w:r>
        <w:rPr>
          <w:rFonts w:ascii="Calibri" w:hAnsi="Calibri"/>
          <w:b w:val="0"/>
          <w:i/>
          <w:color w:val="555555"/>
          <w:sz w:val="16"/>
        </w:rPr>
        <w:t>Licence et avertissement. Cette oeuvre, 'AI for Americans First', est mise a disposition selon les termes de la licence Creative Commons Attribution - Pas d'Utilisation Commerciale - Partage dans les Memes Conditions 4.0 International (CC BY-NC-SA 4.0) du projet America-First-IA.</w:t>
      </w:r>
    </w:p>
    <w:p>
      <w:pPr>
        <w:spacing w:after="40"/>
        <w:jc w:val="left"/>
      </w:pPr>
      <w:r>
        <w:rPr>
          <w:rFonts w:ascii="Calibri" w:hAnsi="Calibri"/>
          <w:b w:val="0"/>
          <w:i/>
          <w:color w:val="555555"/>
          <w:sz w:val="16"/>
        </w:rPr>
        <w:t>Vous etes libre de partager et adapter le materiel a des fins non commerciales, a condition d'attribuer correctement l'oeuvre a Fabrice Pizzi (Universite Paris-Sorbonne) et de distribuer vos contributions sous la meme licence. Ce document est fourni a des fins educatives et de recherche uniquement.</w:t>
      </w:r>
    </w:p>
    <w:p>
      <w:pPr>
        <w:spacing w:after="40"/>
        <w:jc w:val="left"/>
      </w:pPr>
      <w:r>
        <w:rPr>
          <w:rFonts w:ascii="Calibri" w:hAnsi="Calibri"/>
          <w:b w:val="0"/>
          <w:i/>
          <w:color w:val="555555"/>
          <w:sz w:val="16"/>
        </w:rPr>
        <w:t>Tableau de bord public : https://mo0ogly.github.io/America-First-IA/dashboard/</w:t>
      </w:r>
    </w:p>
    <w:p>
      <w:pPr>
        <w:spacing w:after="40"/>
        <w:jc w:val="left"/>
      </w:pPr>
      <w:r>
        <w:rPr>
          <w:rFonts w:ascii="Calibri" w:hAnsi="Calibri"/>
          <w:b w:val="0"/>
          <w:i/>
          <w:color w:val="555555"/>
          <w:sz w:val="16"/>
        </w:rPr>
        <w:t>Depot : https://github.com/mo0ogly/America-First-IA</w:t>
      </w:r>
    </w:p>
    <w:p>
      <w:pPr>
        <w:spacing w:after="0"/>
        <w:jc w:val="center"/>
      </w:pPr>
      <w:r>
        <w:rPr>
          <w:rFonts w:ascii="Calibri" w:hAnsi="Calibri"/>
          <w:b w:val="0"/>
          <w:i/>
          <w:color w:val="555555"/>
          <w:sz w:val="16"/>
        </w:rPr>
        <w:t>AI for Americans First - Fabrice Pizzi - Chapitre III</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