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80"/>
        <w:jc w:val="center"/>
      </w:pPr>
      <w:r>
        <w:rPr>
          <w:rFonts w:ascii="Calibri" w:hAnsi="Calibri"/>
          <w:b/>
          <w:i w:val="0"/>
          <w:color w:val="555555"/>
          <w:sz w:val="20"/>
        </w:rPr>
        <w:t>RESEARCH STUDY - FEBRUARY 2026</w:t>
      </w:r>
    </w:p>
    <w:p>
      <w:pPr>
        <w:spacing w:after="80"/>
        <w:jc w:val="center"/>
      </w:pPr>
      <w:r>
        <w:rPr>
          <w:rFonts w:ascii="Calibri" w:hAnsi="Calibri"/>
          <w:b/>
          <w:i w:val="0"/>
          <w:color w:val="1A2744"/>
          <w:sz w:val="52"/>
        </w:rPr>
        <w:t>AI FOR AMERICANS FIRST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555555"/>
          <w:sz w:val="24"/>
        </w:rPr>
        <w:t>AI Protectionism, Energy and Semiconductors:</w:t>
        <w:br/>
        <w:t>US/Europe Divergence Trajectories 2024-2030</w:t>
      </w:r>
    </w:p>
    <w:p>
      <w:pPr>
        <w:spacing w:after="360"/>
        <w:jc w:val="center"/>
      </w:pPr>
      <w:r>
        <w:rPr>
          <w:rFonts w:ascii="Calibri" w:hAnsi="Calibri"/>
          <w:b w:val="0"/>
          <w:i/>
          <w:color w:val="555555"/>
          <w:sz w:val="22"/>
        </w:rPr>
        <w:t>Integrated Geostrategic and Economic Analysis - ANNEX C - ACADEMIC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78.9% of global operational AI compute = USA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1.59x energy cost EU/US (PPP-adjusted)</w:t>
            </w:r>
          </w:p>
        </w:tc>
        <w:tc>
          <w:tcPr>
            <w:tcW w:type="dxa" w:w="3249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1A2744"/>
                <w:sz w:val="22"/>
              </w:rPr>
              <w:t>3.47:1 CACI US/EU ratio (Power Mode)</w:t>
            </w:r>
          </w:p>
        </w:tc>
      </w:tr>
    </w:tbl>
    <w:p>
      <w:pPr>
        <w:spacing w:after="160"/>
      </w:pPr>
    </w:p>
    <w:p>
      <w:pPr>
        <w:spacing w:after="40"/>
        <w:jc w:val="center"/>
      </w:pPr>
      <w:r>
        <w:rPr>
          <w:rFonts w:ascii="Calibri" w:hAnsi="Calibri"/>
          <w:b/>
          <w:i w:val="0"/>
          <w:color w:val="1A2744"/>
          <w:sz w:val="24"/>
        </w:rPr>
        <w:t>Fabrice Pizzi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0"/>
        </w:rPr>
        <w:t>Paris-Sorbonne University</w:t>
      </w:r>
    </w:p>
    <w:p>
      <w:pPr>
        <w:spacing w:after="280"/>
        <w:jc w:val="center"/>
      </w:pPr>
      <w:r>
        <w:rPr>
          <w:rFonts w:ascii="Calibri" w:hAnsi="Calibri"/>
          <w:b w:val="0"/>
          <w:i/>
          <w:color w:val="555555"/>
          <w:sz w:val="20"/>
        </w:rPr>
        <w:t>Master 2 Economic Intelligence - Intelligence Warfare</w:t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55555"/>
          <w:sz w:val="20"/>
        </w:rPr>
        <w:t>Paris - February 2026  |  11 chapters  |  4 prospective scenarios  |  Global analysis</w:t>
      </w:r>
    </w:p>
    <w:p>
      <w:pPr>
        <w:spacing w:after="480"/>
        <w:jc w:val="center"/>
      </w:pPr>
      <w:r>
        <w:rPr>
          <w:rFonts w:ascii="Calibri" w:hAnsi="Calibri"/>
          <w:b w:val="0"/>
          <w:i/>
          <w:color w:val="555555"/>
          <w:sz w:val="18"/>
        </w:rPr>
        <w:t>Keywords: artificial intelligence, technological protectionism, semiconductors, export controls, sovereign compute, AI geopolitics, France, United States, China</w:t>
      </w:r>
    </w:p>
    <w:p>
      <w:pPr>
        <w:spacing w:after="40"/>
        <w:jc w:val="center"/>
      </w:pPr>
      <w:r>
        <w:rPr>
          <w:rFonts w:ascii="Calibri" w:hAnsi="Calibri"/>
          <w:b/>
          <w:i w:val="0"/>
          <w:color w:val="B8922F"/>
          <w:sz w:val="22"/>
        </w:rPr>
        <w:t>ANNEX C - ACADEMIC NOTE</w:t>
      </w:r>
    </w:p>
    <w:p>
      <w:pPr>
        <w:spacing w:after="240"/>
        <w:jc w:val="center"/>
      </w:pPr>
      <w:r>
        <w:rPr>
          <w:rFonts w:ascii="Calibri" w:hAnsi="Calibri"/>
          <w:b/>
          <w:i w:val="0"/>
          <w:color w:val="1A2744"/>
          <w:sz w:val="36"/>
        </w:rPr>
        <w:t>AI for Americans First: American AI Protectionism, Reconfiguration of the Global Technological Order and Consequences for France and Europe (2026-2030)</w:t>
      </w:r>
    </w:p>
    <w:p>
      <w:pPr>
        <w:spacing w:after="200" w:line="300" w:lineRule="auto"/>
      </w:pPr>
      <w:r>
        <w:rPr>
          <w:rFonts w:ascii="Calibri" w:hAnsi="Calibri"/>
          <w:b w:val="0"/>
          <w:i/>
          <w:color w:val="555555"/>
          <w:sz w:val="22"/>
        </w:rPr>
        <w:t>This annex presents the Academic Synthesis Note of the dissertation. This study analyzes the mechanisms and consequences of American AI protectionism under the Trump 2.0 administration, integrating four dimensions: energy, semiconductors, compute, and regulation. Based on an empirical diagnosis (2020-2026), the construction of a Compute-Adjusted Competitiveness Index (CACI), and a 2x2 scenario matrix, the research demonstrates that the combination of tariffs (25%, Section 232) and export controls creates a measurable structural competitive advantage (CACI US/EU ratio of 3.47:1, Power mode, for a raw operational compute ratio of 17.6:1, April 2026). The analysis reveals differentiated trajectories of dependence across regions (Europe, South America, Asia, Africa). A prospective addendum formalizes the 'Grand Decoupling 2028' scenario based on US Cloud Sovereignty Mandates, revealing that France and Europe must distinguish between physically installed capacity and operationally sovereign compute.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C.1 Subject and Problem Statement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AI has emerged since 2023 as the primary vector of economic innovation and geopolitical competition. Yet the AI value chain exhibits unprecedented concentration: as of the April 2026 public dashboard snapshot, the United States controls 78.9 percent of global operational AI compute, and five US hyperscalers plan 660-690 billion USD in capex for 2026 alone.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In this context, the Trump 2.0 administration has transformed Biden-era export controls (2022-2025) into a hybrid protectionist regime. This study asks: to what extent does American AI protectionism create a measurable structural competitive advantage, and what are the differentiated consequences for France, Europe, and other world regions?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C.2 Methodological Framework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methodology rests on three pillars: (1) An empirical longitudinal diagnosis (2020-2026) of energy, semiconductors, and compute distributions; (2) The construction of the Compute-Adjusted Competitiveness Index (CACI) Power Mode formula: CACI = F^0.40 x L^0.20 x R^0.15 / E^0.25; (3) A 2x2 scenario matrix crossing US protectionism intensity with European strategic response.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prospective addendum extends the CACI model with the decomposition F(r) = F_phys(r) x F_sov(r), where F_sov measures the fraction of regional compute operated outside US jurisdiction. This reveals that physically installed capacity does not equal operationally sovereign capacity.</w:t>
      </w:r>
    </w:p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C.3.1 A Three-Tiered Protectionism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The study identifies a cumulative three-level protectionist architecture: (1) Export controls segmenting the world into three access tiers; (2) 25% Section 232 tariffs on advanced AI semiconductors creating a direct cost differential; (3) Capitalistic gravity effects where massive capex concentration reinforces US supremacy without further regulation.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A potential fourth tier looms for 2028: Cloud Sovereignty Mandates, transforming US hyperscalers operating offshore into conditional intermediaries of global compute.</w:t>
      </w:r>
    </w:p>
    <w:p>
      <w:pPr>
        <w:spacing w:before="160" w:after="120"/>
      </w:pPr>
      <w:r>
        <w:rPr>
          <w:rFonts w:ascii="Calibri" w:hAnsi="Calibri"/>
          <w:b/>
          <w:i w:val="0"/>
          <w:color w:val="1A2744"/>
          <w:sz w:val="26"/>
        </w:rPr>
        <w:t>C.3.4 The Grand Decoupling 2028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This scenario models a qualitative shift: the transition from control of chip flows to control of the jurisdictional layer (operating sovereignty). The CLOUD Act (2018) already establishes that a cluster physically installed in Ireland remains legally American. The 'America's AI Action Plan' (2025) introduces location-verification features in chips for remote throttling.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202020"/>
          <w:sz w:val="22"/>
        </w:rPr>
        <w:t>Decomposition reveals that while the US and China are fully sovereign (F_sov=1.00), the EU is largely sovereign on cluster ownership (F_sov=0.99) but highly dependent on the cloud workload layer (F_sov_workloads ~0.28).</w:t>
      </w:r>
    </w:p>
    <w:p>
      <w:pPr>
        <w:spacing w:after="40"/>
      </w:pPr>
      <w:r>
        <w:rPr>
          <w:rFonts w:ascii="Calibri" w:hAnsi="Calibri"/>
          <w:b/>
          <w:i w:val="0"/>
          <w:color w:val="1A2744"/>
          <w:sz w:val="20"/>
        </w:rPr>
        <w:t>Table C.1. Summary of regional consequences of American AI protectionism.</w:t>
      </w:r>
    </w:p>
    <w:p>
      <w:pPr>
        <w:spacing w:after="80"/>
      </w:pPr>
      <w:r>
        <w:rPr>
          <w:rFonts w:ascii="Calibri" w:hAnsi="Calibri"/>
          <w:b w:val="0"/>
          <w:i/>
          <w:color w:val="555555"/>
          <w:sz w:val="18"/>
        </w:rPr>
        <w:t>Source: Author's construction, calibrated on April 2026 snapshot.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Region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Tier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Main Dynamic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Strategic Asset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/>
                <w:i w:val="0"/>
                <w:color w:val="1A2744"/>
                <w:sz w:val="20"/>
              </w:rPr>
              <w:t>Main Risk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France / Europe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1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Dependence on US GPU + cloud; InvestAI response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Nuclear energy (70% mix), Mistral, ASML, AI Act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Geopolitical vendor lock-in; Low F_sov; CSM 2028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Brazil / S. America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US-China competition arena; Scala/TikTok projects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83% renewable energy mix; dynamic fintech market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Triple fracture (N-S, E-W, intra-regional)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China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3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Forced autonomy; alternative ecosystem (Huawei/DeepSeek)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Domestic market 1.4B; 125B+ USD/yr investment</w:t>
            </w:r>
          </w:p>
        </w:tc>
        <w:tc>
          <w:tcPr>
            <w:tcW w:type="dxa" w:w="1949"/>
          </w:tcPr>
          <w:p>
            <w:r/>
            <w:r>
              <w:rPr>
                <w:rFonts w:ascii="Calibri" w:hAnsi="Calibri"/>
                <w:b w:val="0"/>
                <w:i w:val="0"/>
                <w:color w:val="202020"/>
                <w:sz w:val="20"/>
              </w:rPr>
              <w:t>2-3 gen GPU lag; tech isolation</w:t>
            </w:r>
          </w:p>
        </w:tc>
      </w:tr>
    </w:tbl>
    <w:p/>
    <w:p>
      <w:pPr>
        <w:spacing w:after="120"/>
        <w:jc w:val="left"/>
      </w:pPr>
      <w:r>
        <w:rPr>
          <w:rFonts w:ascii="Calibri" w:hAnsi="Calibri"/>
          <w:b w:val="0"/>
          <w:i/>
          <w:color w:val="555555"/>
          <w:sz w:val="18"/>
        </w:rPr>
        <w:t>Main sources: IEA (2025-2026), World Bank (2025), Epoch AI, McKinsey, Synergy Research, White House BIS.</w:t>
      </w:r>
    </w:p>
    <w:p>
      <w:pPr>
        <w:spacing w:before="280" w:after="120"/>
      </w:pPr>
      <w:r>
        <w:rPr>
          <w:rFonts w:ascii="Calibri" w:hAnsi="Calibri"/>
          <w:b/>
          <w:i w:val="0"/>
          <w:color w:val="1A2744"/>
          <w:sz w:val="32"/>
        </w:rPr>
        <w:t>Notes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1. </w:t>
      </w:r>
      <w:r>
        <w:rPr>
          <w:rFonts w:ascii="Calibri" w:hAnsi="Calibri"/>
          <w:b w:val="0"/>
          <w:i w:val="0"/>
          <w:color w:val="555555"/>
          <w:sz w:val="18"/>
        </w:rPr>
        <w:t>Public dashboard snapshot April 2026: USA 78.9% of global operational AI compute.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2. </w:t>
      </w:r>
      <w:r>
        <w:rPr>
          <w:rFonts w:ascii="Calibri" w:hAnsi="Calibri"/>
          <w:b w:val="0"/>
          <w:i w:val="0"/>
          <w:color w:val="555555"/>
          <w:sz w:val="18"/>
        </w:rPr>
        <w:t>CACI Power Mode: F^0.40 x L^0.20 x R^0.15 / E^0.25. Validated at beta=0.251, p&lt;0.01.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3. </w:t>
      </w:r>
      <w:r>
        <w:rPr>
          <w:rFonts w:ascii="Calibri" w:hAnsi="Calibri"/>
          <w:b w:val="0"/>
          <w:i w:val="0"/>
          <w:color w:val="555555"/>
          <w:sz w:val="18"/>
        </w:rPr>
        <w:t>Section 232: 25% tariff on advanced AI semiconductors (Jan 15, 2026).</w:t>
      </w:r>
    </w:p>
    <w:p>
      <w:pPr>
        <w:spacing w:after="80" w:line="276" w:lineRule="auto"/>
      </w:pPr>
      <w:r>
        <w:rPr>
          <w:rFonts w:ascii="Calibri" w:hAnsi="Calibri"/>
          <w:b/>
          <w:i w:val="0"/>
          <w:color w:val="B8922F"/>
          <w:sz w:val="18"/>
        </w:rPr>
        <w:t xml:space="preserve">4. </w:t>
      </w:r>
      <w:r>
        <w:rPr>
          <w:rFonts w:ascii="Calibri" w:hAnsi="Calibri"/>
          <w:b w:val="0"/>
          <w:i w:val="0"/>
          <w:color w:val="555555"/>
          <w:sz w:val="18"/>
        </w:rPr>
        <w:t>CLOUD Act (2018): Jurisdictional control over data regardless of physical storage location.</w:t>
      </w:r>
    </w:p>
    <w:p/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License and Disclaimer. This work, 'AI for Americans First', is made available under the terms of the Creative Commons Attribution - NonCommercial - ShareAlike 4.0 International (CC BY-NC-SA 4.0) license.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You are free to share and adapt the material for non-commercial purposes, provided you properly attribute the work to Fabrice Pizzi (Paris-Sorbonne University) and distribute your contributions under the same license. This document is provided for educational and research purposes only.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Public dashboard: https://mo0ogly.github.io/America-First-IA/dashboard/</w:t>
      </w:r>
    </w:p>
    <w:p>
      <w:pPr>
        <w:spacing w:after="40"/>
        <w:jc w:val="left"/>
      </w:pPr>
      <w:r>
        <w:rPr>
          <w:rFonts w:ascii="Calibri" w:hAnsi="Calibri"/>
          <w:b w:val="0"/>
          <w:i/>
          <w:color w:val="555555"/>
          <w:sz w:val="16"/>
        </w:rPr>
        <w:t>Repository: https://github.com/mo0ogly/America-First-IA</w:t>
      </w:r>
    </w:p>
    <w:p>
      <w:pPr>
        <w:spacing w:after="0"/>
        <w:jc w:val="center"/>
      </w:pPr>
      <w:r>
        <w:rPr>
          <w:rFonts w:ascii="Calibri" w:hAnsi="Calibri"/>
          <w:b w:val="0"/>
          <w:i/>
          <w:color w:val="555555"/>
          <w:sz w:val="16"/>
        </w:rPr>
        <w:t>AI for Americans First - Fabrice Pizzi - Annex C Academic Note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