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RESEARCH STUDY - FEBRUARY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AI Protectionism, Energy and Semiconductors:</w:t>
        <w:br/>
        <w:t>US/Europe Divergence Trajectories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Integrated Geostrategic and Economic Analysis - ECONOMETRIC ANNEX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76.9% of global operational AI compute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1.59x energy cost EU/US (PPP-adjusted)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3.46:1 CACI US/EU ratio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Paris-Sorbonne University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Economic Intelligence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February 2026  |  11 chapters  |  4 prospective scenarios  |  Global analysis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Keywords: artificial intelligence, technological protectionism, semiconductors, export controls, sovereign compute, AI geopolitics, France, United States,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ECONOMETRIC ANNEX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Empirical Validation of CACI through Panel Data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This annex presents the econometric validation of the CACI (Compute-Adjusted Competitiveness Index) proposed in Chapter II. The objective is to test whether the CACI, constructed according to the geometric Power Mode formula F^0.40 x L^0.20 x R^0.15 / E^0.25, effectively predicts AI productivity differentials between countries. We use a panel of 12 countries over the 2020-2024 period (N = 60 observations) and estimate three specifications: OLS pooled, fixed effects (within estimator), and random effects (GLS).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A.1 Data Panel Construction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panel covers 12 economies representing over 90 percent of global AI compute: USA, China, UK, Germany, France, Japan, South Korea, India, Canada, Netherlands, Brazil, and Sweden. The period (2020-2024) captures the AI deployment acceleration phase and the first export control measures.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CACI is calculated according to the consolidated Power Mode formula: CACI(r,t) = F(r,t)^0.40 x L(r,t)^0.20 x R(r,t)^0.15 / E(r,t)^0.25. Weights are F = 0.40 (compute), L = 0.20 (human capital), R = 0.15 (regulatory access), E = 0.25 (energy cost).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A.3 Main Results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CACI coefficient is positive and statistically significant at the 1 percent level across all three specifications. The elasticity estimated by the fixed effects model (preferred) is 0.251: a 10 percent increase in CACI is associated with a 2.5 percent increase in sectoral AI productivity.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within R-squared of 0.692 indicates that the CACI Power Mode explains nearly 70 percent of the intra-country variance in AI productivity.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A.9 Phys/Sov Extension: Jurisdictional Validation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Phys/Sov extension decomposes factor F into two multiplicative components: F(r) = F_phys(r) x F_sov(r), where F_phys is physically installed compute and F_sov is the fraction under non-US jurisdiction.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While the US and China are fully sovereign (F_sov=100%), the EU is largely sovereign on cluster ownership (78.6%) but highly dependent on the cloud workload layer (only ~28% sovereign).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 A.1. Panel variables and sources.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Source: Author's compilation.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Variable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Definition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Unit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Source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Accessible installed AI FLOPs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PetaFLOPs (H100-eq)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Epoch AI, Hawkins et al. (2025)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Data center energy cost (PPP-adj)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USD/MWh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Eurostat, EIA, IEA (2025)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PROD(r,t)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AI-intensive sector productivity gain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Annual % gain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McKinsey, IMF, Fed Board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 A.2. Panel regression results.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Robust standard errors (clustered by country) in parentheses. *** p &lt; 0.01.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Variable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M1: OLS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M2: FE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M3: RE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ln(CACI)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0.173*** (0.038)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0.251*** (0.075)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0.504*** (0.020)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60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60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R2 within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0.227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0.692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0.920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Hawkins et al. (2025), 'AI Compute Sovereignty', Oxford Internet Institute.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CACI Power Mode formula: F^0.40 x L^0.20 x R^0.15 / E^0.25.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Hausman test: chi2 = 13.91 (p = 0.001) -&gt; Fixed Effects preferred.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License and Disclaimer. This work, 'AI for Americans First', is made available under the terms of the Creative Commons Attribution - NonCommercial - ShareAlike 4.0 International (CC BY-NC-SA 4.0) license.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You are free to share and adapt the material for non-commercial purposes, provided you properly attribute the work to Fabrice Pizzi (Paris-Sorbonne University) and distribute your contributions under the same license. This document is provided for educational and research purposes only.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Public dashboard: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Repository: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 A Econometric Validation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