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80"/>
        <w:jc w:val="center"/>
      </w:pPr>
      <w:r>
        <w:rPr>
          <w:rFonts w:ascii="Calibri" w:hAnsi="Calibri"/>
          <w:b/>
          <w:i w:val="0"/>
          <w:color w:val="555555"/>
          <w:sz w:val="20"/>
        </w:rPr>
        <w:t>ESTUDO DE PESQUISA - FEVEREIRO 2026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1A2744"/>
          <w:sz w:val="52"/>
        </w:rPr>
        <w:t>AI FOR AMERICANS FIRST</w:t>
      </w:r>
    </w:p>
    <w:p>
      <w:pPr>
        <w:spacing w:after="80"/>
        <w:jc w:val="center"/>
      </w:pPr>
      <w:r>
        <w:rPr>
          <w:rFonts w:ascii="Calibri" w:hAnsi="Calibri"/>
          <w:b w:val="0"/>
          <w:i/>
          <w:color w:val="555555"/>
          <w:sz w:val="24"/>
        </w:rPr>
        <w:t>Protecionismo de IA, Energia e Semicondutores:</w:t>
        <w:br/>
        <w:t>Trajetorias de Divergencia EUA/Europa 2024-2030</w:t>
      </w:r>
    </w:p>
    <w:p>
      <w:pPr>
        <w:spacing w:after="360"/>
        <w:jc w:val="center"/>
      </w:pPr>
      <w:r>
        <w:rPr>
          <w:rFonts w:ascii="Calibri" w:hAnsi="Calibri"/>
          <w:b w:val="0"/>
          <w:i/>
          <w:color w:val="555555"/>
          <w:sz w:val="22"/>
        </w:rPr>
        <w:t>Analise Geoestrategica e Economica Integrada - ANEXO E - NOTA DE PESQUISA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78,9% da computacao de IA operacional global = EUA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1,59x custo de energia UE/EUA (ajustado-PPP)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3,64:1 ratio CACI EUA/UE (Power Mode)</w:t>
            </w:r>
          </w:p>
        </w:tc>
      </w:tr>
    </w:tbl>
    <w:p>
      <w:pPr>
        <w:spacing w:after="160"/>
      </w:pPr>
    </w:p>
    <w:p>
      <w:pPr>
        <w:spacing w:after="40"/>
        <w:jc w:val="center"/>
      </w:pPr>
      <w:r>
        <w:rPr>
          <w:rFonts w:ascii="Calibri" w:hAnsi="Calibri"/>
          <w:b/>
          <w:i w:val="0"/>
          <w:color w:val="1A2744"/>
          <w:sz w:val="24"/>
        </w:rPr>
        <w:t>Fabrice Pizzi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0"/>
        </w:rPr>
        <w:t>Universidade Paris-Sorbonne</w:t>
      </w:r>
    </w:p>
    <w:p>
      <w:pPr>
        <w:spacing w:after="280"/>
        <w:jc w:val="center"/>
      </w:pPr>
      <w:r>
        <w:rPr>
          <w:rFonts w:ascii="Calibri" w:hAnsi="Calibri"/>
          <w:b w:val="0"/>
          <w:i/>
          <w:color w:val="555555"/>
          <w:sz w:val="20"/>
        </w:rPr>
        <w:t>Mestrado 2 Inteligencia Economica - Intelligence Warfare</w:t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555555"/>
          <w:sz w:val="20"/>
        </w:rPr>
        <w:t>Paris - fevereiro 2026  |  11 capitulos  |  4 cenarios prospectivos  |  Analise global</w:t>
      </w:r>
    </w:p>
    <w:p>
      <w:pPr>
        <w:spacing w:after="480"/>
        <w:jc w:val="center"/>
      </w:pPr>
      <w:r>
        <w:rPr>
          <w:rFonts w:ascii="Calibri" w:hAnsi="Calibri"/>
          <w:b w:val="0"/>
          <w:i/>
          <w:color w:val="555555"/>
          <w:sz w:val="18"/>
        </w:rPr>
        <w:t>Palavras-chave: inteligencia artificial, protecionismo tecnologico, semicondutores, controles de exportacao, computacao soberana, geopolitica da IA, Franca, Estados Unidos, China</w:t>
      </w:r>
    </w:p>
    <w:p>
      <w:pPr>
        <w:spacing w:after="40"/>
        <w:jc w:val="center"/>
      </w:pPr>
      <w:r>
        <w:rPr>
          <w:rFonts w:ascii="Calibri" w:hAnsi="Calibri"/>
          <w:b/>
          <w:i w:val="0"/>
          <w:color w:val="B8922F"/>
          <w:sz w:val="22"/>
        </w:rPr>
        <w:t>ANEXO E - NOTA DE PESQUISA</w:t>
      </w:r>
    </w:p>
    <w:p>
      <w:pPr>
        <w:spacing w:after="240"/>
        <w:jc w:val="center"/>
      </w:pPr>
      <w:r>
        <w:rPr>
          <w:rFonts w:ascii="Calibri" w:hAnsi="Calibri"/>
          <w:b/>
          <w:i w:val="0"/>
          <w:color w:val="1A2744"/>
          <w:sz w:val="36"/>
        </w:rPr>
        <w:t>A IA como Amplificador de Metodo: Por que a Competencia Rara na Economia da IA sera o Enquadramento, nao a Produçao</w:t>
      </w:r>
    </w:p>
    <w:p>
      <w:pPr>
        <w:spacing w:after="200" w:line="300" w:lineRule="auto"/>
      </w:pPr>
      <w:r>
        <w:rPr>
          <w:rFonts w:ascii="Calibri" w:hAnsi="Calibri"/>
          <w:b w:val="0"/>
          <w:i/>
          <w:color w:val="555555"/>
          <w:sz w:val="22"/>
        </w:rPr>
        <w:t>Este anexo apresenta a nota de pesquisa de março de 2026 sobre a IA como amplificador de metodo. A democratizaçao das ferramentas de IA generativa desde 2023 produziu um paradoxo: ferramentas mais potentes inicialmente industrializaram uma nova categoria de mediocridade profissional. Esta nota analisa por que a competencia rara na economia da IA nao sera a capacidade de produzir, mas a capacidade de enquadrar, verificar, orquestrar e arbitrar as saídas dos modelos.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E.1 O Paradoxo da Primeira Fase: Poder da Ferramenta, Pobreza de Método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Desde 2023, a democratizaçao dos LLMs colocou uma capacidade de produçao consideravel nas maos de profissionais sem metodo estruturado. O resultado e frequentemente analises superficiais e codigo fragil.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A maquina amplificou um mau metodo de trabalho; ela nao o criou.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E.3 Redistribuição de Competências: Método sobre Senioridade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A IA redistribui vantagens competitivas de forma contra-intuitiva. Senioridade sem estrutura de raciocinio perde valor. Um profissional senior pilotando a IA de forma vaga sera superado por um junior com uma estrutura de reflexao rigorosa.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E.6 Conclusão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Nao estamos entrando em uma economia de preguiça assistida. Estamos entrando em uma economia de densidade cognitiva. Para profissionais europeus e brasileiros, o imperativo e compensar a assimetria de infraestrutura (ratio CACI EUA/UE 3,64:1) com superioridade metodologica. O metodo torna-se a arma estrategica da jurisdiçao com pouco compute.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Notas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B8922F"/>
          <w:sz w:val="18"/>
        </w:rPr>
        <w:t xml:space="preserve">1. </w:t>
      </w:r>
      <w:r>
        <w:rPr>
          <w:rFonts w:ascii="Calibri" w:hAnsi="Calibri"/>
          <w:b w:val="0"/>
          <w:i w:val="0"/>
          <w:color w:val="555555"/>
          <w:sz w:val="18"/>
        </w:rPr>
        <w:t>Jensen Huang, GTC 2026: Modelo de 5 camadas.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B8922F"/>
          <w:sz w:val="18"/>
        </w:rPr>
        <w:t xml:space="preserve">2. </w:t>
      </w:r>
      <w:r>
        <w:rPr>
          <w:rFonts w:ascii="Calibri" w:hAnsi="Calibri"/>
          <w:b w:val="0"/>
          <w:i w:val="0"/>
          <w:color w:val="555555"/>
          <w:sz w:val="18"/>
        </w:rPr>
        <w:t>CACI Power Mode: F^0,40 x L^0,20 x R^0,15 / E^0,25 (Pizzi, 2026).</w:t>
      </w:r>
    </w:p>
    <w:p/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Licenca e Isencao de Responsabilidade. Este trabalho, 'AI for Americans First', e disponibilizado sob os termos da licenca Creative Commons Atribuicao-NaoComercial-CompartilhaIgual 4.0 Internacional (CC BY-NC-SA 4.0).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Voce tem a liberdade de compartilhar e adaptar o material para fins nao comerciais, desde que atribua corretamente o trabalho a Fabrice Pizzi (Universidade Paris-Sorbonne) e distribua suas contribuicoes sob a mesma licenca. Este documento e fornecido apenas para fins educacionais e de pesquisa.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Painel publico: https://mo0ogly.github.io/America-First-IA/dashboard/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Repositorio: https://github.com/mo0ogly/America-First-IA</w:t>
      </w:r>
    </w:p>
    <w:p>
      <w:pPr>
        <w:spacing w:after="0"/>
        <w:jc w:val="center"/>
      </w:pPr>
      <w:r>
        <w:rPr>
          <w:rFonts w:ascii="Calibri" w:hAnsi="Calibri"/>
          <w:b w:val="0"/>
          <w:i/>
          <w:color w:val="555555"/>
          <w:sz w:val="16"/>
        </w:rPr>
        <w:t>AI for Americans First - Fabrice Pizzi - Anexo E Amplificador de Metodo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