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w:t>
        <w:br/>
        <w:t>US/Europe Divergence Trajectories 2024-2030</w:t>
      </w:r>
    </w:p>
    <w:p>
      <w:pPr>
        <w:spacing w:after="360"/>
        <w:jc w:val="center"/>
      </w:pPr>
      <w:r>
        <w:rPr>
          <w:rFonts w:ascii="Calibri" w:hAnsi="Calibri"/>
          <w:b w:val="0"/>
          <w:i/>
          <w:color w:val="555555"/>
          <w:sz w:val="22"/>
        </w:rPr>
        <w:t>Integrated Geostrategic and Economic Analysis - ANNEX E - RESEARCH NOTE</w:t>
      </w:r>
    </w:p>
    <w:tbl>
      <w:tblPr>
        <w:tblW w:type="auto" w:w="0"/>
        <w:tblLook w:firstColumn="1" w:firstRow="1" w:lastColumn="0" w:lastRow="0" w:noHBand="0" w:noVBand="1" w:val="04A0"/>
      </w:tblPr>
      <w:tblGrid>
        <w:gridCol w:w="3249"/>
        <w:gridCol w:w="3249"/>
        <w:gridCol w:w="3249"/>
      </w:tblGrid>
      <w:tr>
        <w:tc>
          <w:tcPr>
            <w:tcW w:type="dxa" w:w="3249"/>
          </w:tcPr>
          <w:p>
            <w:pPr>
              <w:jc w:val="center"/>
            </w:pPr>
            <w:r>
              <w:rPr>
                <w:rFonts w:ascii="Calibri" w:hAnsi="Calibri"/>
                <w:b/>
                <w:i w:val="0"/>
                <w:color w:val="1A2744"/>
                <w:sz w:val="22"/>
              </w:rPr>
              <w:t>78.9% of global operational AI compute = USA</w:t>
            </w:r>
          </w:p>
        </w:tc>
        <w:tc>
          <w:tcPr>
            <w:tcW w:type="dxa" w:w="3249"/>
          </w:tcPr>
          <w:p>
            <w:pPr>
              <w:jc w:val="center"/>
            </w:pPr>
            <w:r>
              <w:rPr>
                <w:rFonts w:ascii="Calibri" w:hAnsi="Calibri"/>
                <w:b/>
                <w:i w:val="0"/>
                <w:color w:val="1A2744"/>
                <w:sz w:val="22"/>
              </w:rPr>
              <w:t>1.59x energy cost EU/US (PPP-adjusted)</w:t>
            </w:r>
          </w:p>
        </w:tc>
        <w:tc>
          <w:tcPr>
            <w:tcW w:type="dxa" w:w="3249"/>
          </w:tcPr>
          <w:p>
            <w:pPr>
              <w:jc w:val="center"/>
            </w:pPr>
            <w:r>
              <w:rPr>
                <w:rFonts w:ascii="Calibri" w:hAnsi="Calibri"/>
                <w:b/>
                <w:i w:val="0"/>
                <w:color w:val="1A2744"/>
                <w:sz w:val="22"/>
              </w:rPr>
              <w:t>3.64:1 CACI US/EU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Paris-Sorbonne University</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11 chapters  |  4 prospective scenarios  |  Global analysis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ANNEX E - RESEARCH NOTE</w:t>
      </w:r>
    </w:p>
    <w:p>
      <w:pPr>
        <w:spacing w:after="240"/>
        <w:jc w:val="center"/>
      </w:pPr>
      <w:r>
        <w:rPr>
          <w:rFonts w:ascii="Calibri" w:hAnsi="Calibri"/>
          <w:b/>
          <w:i w:val="0"/>
          <w:color w:val="1A2744"/>
          <w:sz w:val="36"/>
        </w:rPr>
        <w:t>AI as a Method Amplifier: Why the Rare Skill in the AI Economy Will Be Framing, Not Production</w:t>
      </w:r>
    </w:p>
    <w:p>
      <w:pPr>
        <w:spacing w:after="200" w:line="300" w:lineRule="auto"/>
      </w:pPr>
      <w:r>
        <w:rPr>
          <w:rFonts w:ascii="Calibri" w:hAnsi="Calibri"/>
          <w:b w:val="0"/>
          <w:i/>
          <w:color w:val="555555"/>
          <w:sz w:val="22"/>
        </w:rPr>
        <w:t>This annex presents the March 2026 research note on AI as a method amplifier. The democratization of generative AI tools since 2023 has produced a paradox: more powerful tools have, initially, industrialized a new category of professional mediocrity. This note analyzes why the rare skill in the AI economy will not be the ability to produce, but the ability to frame, verify, orchestrate, and arbitrate model outputs. The concept of cognitive density economy is introduced for this new work regime, complementing the geostrategic analysis in Annex D.</w:t>
      </w:r>
    </w:p>
    <w:p>
      <w:pPr>
        <w:spacing w:before="280" w:after="120"/>
      </w:pPr>
      <w:r>
        <w:rPr>
          <w:rFonts w:ascii="Calibri" w:hAnsi="Calibri"/>
          <w:b/>
          <w:i w:val="0"/>
          <w:color w:val="1A2744"/>
          <w:sz w:val="32"/>
        </w:rPr>
        <w:t>E.1 The Paradox of the First Phase: Tool Power, Method Poverty</w:t>
      </w:r>
    </w:p>
    <w:p>
      <w:pPr>
        <w:spacing w:after="120" w:line="300" w:lineRule="auto"/>
      </w:pPr>
      <w:r>
        <w:rPr>
          <w:rFonts w:ascii="Calibri" w:hAnsi="Calibri"/>
          <w:b w:val="0"/>
          <w:i w:val="0"/>
          <w:color w:val="202020"/>
          <w:sz w:val="22"/>
        </w:rPr>
        <w:t>Since 2023, the rapid democratization of LLMs has put considerable production capacity in the hands of professionals who had no structured method to pilot them. The result is often superficial analysis and fragile code—deliverables that pass initial reviews but fail in production.</w:t>
      </w:r>
    </w:p>
    <w:p>
      <w:pPr>
        <w:spacing w:after="120" w:line="300" w:lineRule="auto"/>
      </w:pPr>
      <w:r>
        <w:rPr>
          <w:rFonts w:ascii="Calibri" w:hAnsi="Calibri"/>
          <w:b w:val="0"/>
          <w:i w:val="0"/>
          <w:color w:val="202020"/>
          <w:sz w:val="22"/>
        </w:rPr>
        <w:t>This was often blamed on model hallucinations, but a more rigorous analysis shows the problem is human: lack of problem framing, lack of output verification, and lack of critical questioning. The machine amplified a poor work method; it did not create it.</w:t>
      </w:r>
    </w:p>
    <w:p>
      <w:pPr>
        <w:spacing w:before="280" w:after="120"/>
      </w:pPr>
      <w:r>
        <w:rPr>
          <w:rFonts w:ascii="Calibri" w:hAnsi="Calibri"/>
          <w:b/>
          <w:i w:val="0"/>
          <w:color w:val="1A2744"/>
          <w:sz w:val="32"/>
        </w:rPr>
        <w:t>E.3 Redistribution of Skills: Method Over Seniority</w:t>
      </w:r>
    </w:p>
    <w:p>
      <w:pPr>
        <w:spacing w:after="120" w:line="300" w:lineRule="auto"/>
      </w:pPr>
      <w:r>
        <w:rPr>
          <w:rFonts w:ascii="Calibri" w:hAnsi="Calibri"/>
          <w:b w:val="0"/>
          <w:i w:val="0"/>
          <w:color w:val="202020"/>
          <w:sz w:val="22"/>
        </w:rPr>
        <w:t>AI redistributes competitive advantages counter-intuitively. Seniority without an explicit reasoning structure loses value. A senior professional piloting AI loosely will be overtaken by a junior with a rigorous reflection structure: capable of decomposing problems, orchestrating tools, and validating before delivery.</w:t>
      </w:r>
    </w:p>
    <w:p>
      <w:pPr>
        <w:spacing w:before="280" w:after="120"/>
      </w:pPr>
      <w:r>
        <w:rPr>
          <w:rFonts w:ascii="Calibri" w:hAnsi="Calibri"/>
          <w:b/>
          <w:i w:val="0"/>
          <w:color w:val="1A2744"/>
          <w:sz w:val="32"/>
        </w:rPr>
        <w:t>E.4 Behavioral Engineering of the Model: The LIA-Scan Case</w:t>
      </w:r>
    </w:p>
    <w:p>
      <w:pPr>
        <w:spacing w:after="120" w:line="300" w:lineRule="auto"/>
      </w:pPr>
      <w:r>
        <w:rPr>
          <w:rFonts w:ascii="Calibri" w:hAnsi="Calibri"/>
          <w:b w:val="0"/>
          <w:i w:val="0"/>
          <w:color w:val="202020"/>
          <w:sz w:val="22"/>
        </w:rPr>
        <w:t>LIA-Scan is a cybersecurity configuration audit platform (200+ technologies). To automate CVE detection rules, an agentic n8n pipeline was designed. The agent does not produce a direct YAML rule; it goes through a mandatory structured loop: decomposition, planning, action, observation, and explicit scoring evaluation.</w:t>
      </w:r>
    </w:p>
    <w:p>
      <w:pPr>
        <w:spacing w:after="120" w:line="300" w:lineRule="auto"/>
      </w:pPr>
      <w:r>
        <w:rPr>
          <w:rFonts w:ascii="Calibri" w:hAnsi="Calibri"/>
          <w:b w:val="0"/>
          <w:i w:val="0"/>
          <w:color w:val="202020"/>
          <w:sz w:val="22"/>
        </w:rPr>
        <w:t>This is not just 'using AI'; it is behavioral engineering of the model: designing structural constraints that force the model to produce in a controlled, evaluable, and traceable manner. This is the skill the AI economy will value most.</w:t>
      </w:r>
    </w:p>
    <w:p>
      <w:pPr>
        <w:spacing w:before="280" w:after="120"/>
      </w:pPr>
      <w:r>
        <w:rPr>
          <w:rFonts w:ascii="Calibri" w:hAnsi="Calibri"/>
          <w:b/>
          <w:i w:val="0"/>
          <w:color w:val="1A2744"/>
          <w:sz w:val="32"/>
        </w:rPr>
        <w:t>E.6 Conclusion</w:t>
      </w:r>
    </w:p>
    <w:p>
      <w:pPr>
        <w:spacing w:after="120" w:line="300" w:lineRule="auto"/>
      </w:pPr>
      <w:r>
        <w:rPr>
          <w:rFonts w:ascii="Calibri" w:hAnsi="Calibri"/>
          <w:b w:val="0"/>
          <w:i w:val="0"/>
          <w:color w:val="202020"/>
          <w:sz w:val="22"/>
        </w:rPr>
        <w:t>We are not entering an economy of assisted laziness. We are entering an economy of cognitive density, and the level of demand will rise as fast as the models progress. For European professionals, the imperative is to compensate for infrastructure asymmetry (CACI ratio US/EU 3.64:1) with methodological superiority. Method becomes the strategic weapon of the compute-deprived jurisdiction.</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Jensen Huang, GTC 2026 Keynote: Five-layer model (Energy, Chips, Infrastructure, Models, Apps).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CACI Power Mode: F^0.40 x L^0.20 x R^0.15 / E^0.25 (Pizzi, 2026).</w:t>
      </w:r>
    </w:p>
    <w:p>
      <w:pPr>
        <w:spacing w:after="80" w:line="276" w:lineRule="auto"/>
      </w:pPr>
      <w:r>
        <w:rPr>
          <w:rFonts w:ascii="Calibri" w:hAnsi="Calibri"/>
          <w:b/>
          <w:i w:val="0"/>
          <w:color w:val="B8922F"/>
          <w:sz w:val="18"/>
        </w:rPr>
        <w:t xml:space="preserve">3. </w:t>
      </w:r>
      <w:r>
        <w:rPr>
          <w:rFonts w:ascii="Calibri" w:hAnsi="Calibri"/>
          <w:b w:val="0"/>
          <w:i w:val="0"/>
          <w:color w:val="555555"/>
          <w:sz w:val="18"/>
        </w:rPr>
        <w:t>LIA-Scan: Cybersecurity audit platform with agentic pipeline.</w:t>
      </w:r>
    </w:p>
    <w:p>
      <w:pPr>
        <w:spacing w:after="80" w:line="276" w:lineRule="auto"/>
      </w:pPr>
      <w:r>
        <w:rPr>
          <w:rFonts w:ascii="Calibri" w:hAnsi="Calibri"/>
          <w:b/>
          <w:i w:val="0"/>
          <w:color w:val="B8922F"/>
          <w:sz w:val="18"/>
        </w:rPr>
        <w:t xml:space="preserve">4. </w:t>
      </w:r>
      <w:r>
        <w:rPr>
          <w:rFonts w:ascii="Calibri" w:hAnsi="Calibri"/>
          <w:b w:val="0"/>
          <w:i w:val="0"/>
          <w:color w:val="555555"/>
          <w:sz w:val="18"/>
        </w:rPr>
        <w:t>Annex D: Complementary geostrategic reading of the Huang doctrine.</w:t>
      </w:r>
    </w:p>
    <w:p/>
    <w:p>
      <w:pPr>
        <w:spacing w:after="40"/>
        <w:jc w:val="left"/>
      </w:pPr>
      <w:r>
        <w:rPr>
          <w:rFonts w:ascii="Calibri" w:hAnsi="Calibri"/>
          <w:b w:val="0"/>
          <w:i/>
          <w:color w:val="555555"/>
          <w:sz w:val="16"/>
        </w:rPr>
        <w:t>License and Disclaimer. This work, 'AI for Americans First', is made available under the terms of the Creative Commons Attribution - NonCommercial - ShareAlike 4.0 International (CC BY-NC-SA 4.0) license.</w:t>
      </w:r>
    </w:p>
    <w:p>
      <w:pPr>
        <w:spacing w:after="40"/>
        <w:jc w:val="left"/>
      </w:pPr>
      <w:r>
        <w:rPr>
          <w:rFonts w:ascii="Calibri" w:hAnsi="Calibri"/>
          <w:b w:val="0"/>
          <w:i/>
          <w:color w:val="555555"/>
          <w:sz w:val="16"/>
        </w:rPr>
        <w:t>You are free to share and adapt the material for non-commercial purposes, provided you properly attribute the work to Fabrice Pizzi (Paris-Sorbonne University)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Annex E Method Amplifier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