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r>
        <w:t>Des que tu reveles un indice ou resous un challenge, ta progression remonte automatiquement chez le prof.</w:t>
      </w:r>
    </w:p>
    <w:tbl>
      <w:tblPr>
        <w:tblStyle w:val="TableGrid"/>
        <w:tblW w:type="auto" w:w="0"/>
        <w:tblLook w:firstColumn="1" w:firstRow="1" w:lastColumn="0" w:lastRow="0" w:noHBand="0" w:noVBand="1" w:val="04A0"/>
      </w:tblPr>
      <w:tblGrid>
        <w:gridCol w:w="3213"/>
        <w:gridCol w:w="3213"/>
        <w:gridCol w:w="3213"/>
      </w:tblGrid>
      <w:tr>
        <w:tc>
          <w:tcPr>
            <w:tcW w:type="dxa" w:w="2268"/>
          </w:tcPr>
          <w:p>
            <w:pPr>
              <w:shd w:val="clear" w:fill="D5E8F0"/>
            </w:pPr>
            <w:r/>
            <w:r>
              <w:rPr>
                <w:b/>
                <w:sz w:val="20"/>
              </w:rPr>
              <w:t>Identifiant</w:t>
            </w:r>
          </w:p>
        </w:tc>
        <w:tc>
          <w:tcPr>
            <w:tcW w:type="dxa" w:w="3685"/>
          </w:tcPr>
          <w:p>
            <w:pPr>
              <w:shd w:val="clear" w:fill="D5E8F0"/>
            </w:pPr>
            <w:r/>
            <w:r>
              <w:rPr>
                <w:b/>
                <w:sz w:val="20"/>
              </w:rPr>
              <w:t>Origine</w:t>
            </w:r>
          </w:p>
        </w:tc>
        <w:tc>
          <w:tcPr>
            <w:tcW w:type="dxa" w:w="3685"/>
          </w:tcPr>
          <w:p>
            <w:pPr>
              <w:shd w:val="clear" w:fill="D5E8F0"/>
            </w:pPr>
            <w:r/>
            <w:r>
              <w:rPr>
                <w:b/>
                <w:sz w:val="20"/>
              </w:rPr>
              <w:t>Role</w:t>
            </w:r>
          </w:p>
        </w:tc>
      </w:tr>
      <w:tr>
        <w:tc>
          <w:tcPr>
            <w:tcW w:type="dxa" w:w="2268"/>
          </w:tcPr>
          <w:p>
            <w:r/>
            <w:r>
              <w:rPr>
                <w:sz w:val="20"/>
              </w:rPr>
              <w:t>Label (-l fabrice)</w:t>
            </w:r>
          </w:p>
        </w:tc>
        <w:tc>
          <w:tcPr>
            <w:tcW w:type="dxa" w:w="3685"/>
          </w:tcPr>
          <w:p>
            <w:r/>
            <w:r>
              <w:rPr>
                <w:sz w:val="20"/>
              </w:rPr>
              <w:t>docker/.env, defini par le prof a l'install</w:t>
            </w:r>
          </w:p>
        </w:tc>
        <w:tc>
          <w:tcPr>
            <w:tcW w:type="dxa" w:w="3685"/>
          </w:tcPr>
          <w:p>
            <w:r/>
            <w:r>
              <w:rPr>
                <w:sz w:val="20"/>
              </w:rPr>
              <w:t>Identifie ton poste dans la matrice cohorte — fixe, independant de Juice Shop</w:t>
            </w:r>
          </w:p>
        </w:tc>
      </w:tr>
      <w:tr>
        <w:tc>
          <w:tcPr>
            <w:tcW w:type="dxa" w:w="2268"/>
          </w:tcPr>
          <w:p>
            <w:r/>
            <w:r>
              <w:rPr>
                <w:sz w:val="20"/>
              </w:rPr>
              <w:t>Email Juice Shop</w:t>
            </w:r>
          </w:p>
        </w:tc>
        <w:tc>
          <w:tcPr>
            <w:tcW w:type="dxa" w:w="3685"/>
          </w:tcPr>
          <w:p>
            <w:r/>
            <w:r>
              <w:rPr>
                <w:sz w:val="20"/>
              </w:rPr>
              <w:t>Compte cree sur /#/register</w:t>
            </w:r>
          </w:p>
        </w:tc>
        <w:tc>
          <w:tcPr>
            <w:tcW w:type="dxa" w:w="3685"/>
          </w:tcPr>
          <w:p>
            <w:r/>
            <w:r>
              <w:rPr>
                <w:sz w:val="20"/>
              </w:rPr>
              <w:t>Deverrouille le panneau JuiceLab — peut etre n'importe quelle adresse</w:t>
            </w:r>
          </w:p>
        </w:tc>
      </w:tr>
    </w:tbl>
    <w:p>
      <w:pPr>
        <w:shd w:val="clear" w:fill="FFF4D6"/>
      </w:pPr>
      <w:r>
        <w:rPr>
          <w:b w:val="0"/>
          <w:sz w:val="21"/>
        </w:rPr>
        <w:t>Le prof voit la colonne avec ton label (ex. « fabrice ») dans sa matrice. L'email Juice Shop n'est jamais affiche en TD standard. Deux options : (1) email fictif type fabrice@juicelab.local — format x@y.z requis, adresse non verifiee. (2) Login Google : le bouton fonctionne sur 127.0.0.1:3000 grace au proxy OWASP (local3000.owasp-juice.shop) qui redirige le callback OAuth vers localhost.</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