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76"/>
        <w:jc w:val="center"/>
      </w:pPr>
      <w:r>
        <w:rPr>
          <w:rFonts w:ascii="Times New Roman" w:cs="Times New Roman" w:eastAsia="Times New Roman" w:hAnsi="Times New Roman"/>
          <w:b/>
          <w:bCs/>
          <w:sz w:val="32"/>
          <w:szCs w:val="32"/>
        </w:rPr>
        <w:t xml:space="preserve">CAPÍTULO II</w:t>
      </w:r>
    </w:p>
    <w:p>
      <w:pPr>
        <w:pStyle w:val="Heading1"/>
        <w:spacing w:before="360" w:after="240"/>
      </w:pPr>
      <w:r>
        <w:rPr>
          <w:rFonts w:ascii="Times New Roman" w:cs="Times New Roman" w:eastAsia="Times New Roman" w:hAnsi="Times New Roman"/>
          <w:b/>
          <w:bCs/>
          <w:sz w:val="32"/>
          <w:szCs w:val="32"/>
        </w:rPr>
        <w:t xml:space="preserve">Metodologia</w:t>
      </w:r>
    </w:p>
    <w:p>
      <w:pPr>
        <w:spacing w:after="120" w:before="0" w:line="276"/>
        <w:jc w:val="both"/>
      </w:pPr>
      <w:r>
        <w:rPr>
          <w:rFonts w:ascii="Times New Roman" w:cs="Times New Roman" w:eastAsia="Times New Roman" w:hAnsi="Times New Roman"/>
          <w:sz w:val="24"/>
          <w:szCs w:val="24"/>
        </w:rPr>
        <w:t xml:space="preserve"/>
      </w:r>
    </w:p>
    <w:p>
      <w:pPr>
        <w:pStyle w:val="Heading2"/>
        <w:spacing w:before="280" w:after="200"/>
      </w:pPr>
      <w:r>
        <w:rPr>
          <w:rFonts w:ascii="Times New Roman" w:cs="Times New Roman" w:eastAsia="Times New Roman" w:hAnsi="Times New Roman"/>
          <w:b/>
          <w:bCs/>
          <w:sz w:val="28"/>
          <w:szCs w:val="28"/>
        </w:rPr>
        <w:t xml:space="preserve">2.1 Abordagem geral: análise prospetiva multi-cenários com método misto</w:t>
      </w:r>
    </w:p>
    <w:p>
      <w:pPr>
        <w:spacing w:after="120" w:before="0" w:line="276"/>
        <w:jc w:val="both"/>
      </w:pPr>
      <w:r>
        <w:rPr>
          <w:rFonts w:ascii="Times New Roman" w:cs="Times New Roman" w:eastAsia="Times New Roman" w:hAnsi="Times New Roman"/>
          <w:sz w:val="24"/>
          <w:szCs w:val="24"/>
        </w:rPr>
        <w:t xml:space="preserve">O presente estudo combina uma análise empírica retrospetiva (diagnóstico 2020–2026) e uma projeção prospetiva por cenários (2026–2030). Esta arquitetura em duas vertentes responde à natureza do fenómeno estudado: o protecionismo tecnológico em IA é simultaneamente um facto observável (controlos de exportação, tarifas Section 232) e um processo em curso cuja trajetória futura depende de variáveis políticas discricionárias, de reações estratégicas europeias e de evoluções tecnológicas parcialmente imprevisíveis.</w:t>
      </w:r>
    </w:p>
    <w:p>
      <w:pPr>
        <w:spacing w:after="120" w:before="0" w:line="276"/>
        <w:jc w:val="both"/>
      </w:pPr>
      <w:r>
        <w:rPr>
          <w:rFonts w:ascii="Times New Roman" w:cs="Times New Roman" w:eastAsia="Times New Roman" w:hAnsi="Times New Roman"/>
          <w:sz w:val="24"/>
          <w:szCs w:val="24"/>
        </w:rPr>
        <w:t xml:space="preserve">A vertente retrospetiva mobiliza um método quantitativo descritivo, baseado na agregação e coesão de dados provenientes de fontes institucionais (IEA, SIA/WSTS, Eurostat, EIA), relatórios setoriais (McKinsey, Deloitte, Epoch AI) e documentos regulamentários (Federal Register, BIS, White House). O objetivo é estabelecer uma base factual rigorosa e referenciada, cobrindo três dimensões: o consumo energético dos data centers, o mercado de semicondutores e a capacidade de compute IA instalada por região.</w:t>
      </w:r>
    </w:p>
    <w:p>
      <w:pPr>
        <w:spacing w:after="120" w:before="0" w:line="276"/>
        <w:jc w:val="both"/>
      </w:pPr>
      <w:r>
        <w:rPr>
          <w:rFonts w:ascii="Times New Roman" w:cs="Times New Roman" w:eastAsia="Times New Roman" w:hAnsi="Times New Roman"/>
          <w:sz w:val="24"/>
          <w:szCs w:val="24"/>
        </w:rPr>
        <w:t xml:space="preserve">A vertente prospetiva inscreve-se na tradição do scenario planning, tal como formalizado por Schwartz (1991) e praticado na Royal Dutch/Shell desde os anos 1970.¹ Este método, pertencente à escola das Intuitive Logics (Bradfield et al., 2005), consiste em construir cenários plausíveis e internamente coerentes, não para prever o futuro, mas para explorar o espaço dos possíveis e avaliar a robustez de diferentes estratégias face a evoluções divergentes do ambiente.² É particularmente adaptado a situações caracterizadas por forte incerteza política e tecnológica, onde os modelos econométricos clássicos atingem os seus limites — o que é precisamente o caso do protecionismo tecnológico em IA.</w:t>
      </w:r>
    </w:p>
    <w:p>
      <w:pPr>
        <w:pStyle w:val="Heading3"/>
        <w:spacing w:before="240" w:after="160"/>
      </w:pPr>
      <w:r>
        <w:rPr>
          <w:rFonts w:ascii="Times New Roman" w:cs="Times New Roman" w:eastAsia="Times New Roman" w:hAnsi="Times New Roman"/>
          <w:b/>
          <w:bCs/>
          <w:i/>
          <w:iCs/>
          <w:sz w:val="26"/>
          <w:szCs w:val="26"/>
        </w:rPr>
        <w:t xml:space="preserve">Justificação da escolha metodológica</w:t>
      </w:r>
    </w:p>
    <w:p>
      <w:pPr>
        <w:spacing w:after="120" w:before="0" w:line="276"/>
        <w:jc w:val="both"/>
      </w:pPr>
      <w:r>
        <w:rPr>
          <w:rFonts w:ascii="Times New Roman" w:cs="Times New Roman" w:eastAsia="Times New Roman" w:hAnsi="Times New Roman"/>
          <w:sz w:val="24"/>
          <w:szCs w:val="24"/>
        </w:rPr>
        <w:t xml:space="preserve">Três razões fundamentam o recurso ao método de cenários em vez de uma modelização econométrica pura. Primeiro, as variáveis-chave da análise são em grande parte políticas e discricionárias: a decisão de um presidente americano de impor ou não quotas de GPU à Europa não pode ser modelizada por uma função de regressão. Segundo, as interações entre as dimensões energética, tecnológica e geopolítica são não lineares e sistémicas: uma restrição sobre GPUs pode, por efeito cascata, modificar os fluxos de investimento energético, a localização dos data centers e a estrutura concorrencial de setores inteiros. Terceiro, os dados disponíveis sobre o compute instalado por região são parciais e heterogéneos: não existe nenhuma base de dados unificada e pública que recense os FLOPs de IA por país, tornando uma calibração econométrica rigorosa prematura.</w:t>
      </w:r>
    </w:p>
    <w:p>
      <w:pPr>
        <w:spacing w:after="120" w:before="0" w:line="276"/>
        <w:jc w:val="both"/>
      </w:pPr>
      <w:r>
        <w:rPr>
          <w:rFonts w:ascii="Times New Roman" w:cs="Times New Roman" w:eastAsia="Times New Roman" w:hAnsi="Times New Roman"/>
          <w:sz w:val="24"/>
          <w:szCs w:val="24"/>
        </w:rPr>
        <w:t xml:space="preserve">O método escolhido combina, portanto, o rigor quantitativo do diagnóstico empírico (dados referenciados, séries temporais, rácios mensuráveis) com a flexibilidade qualitativa da construção por cenários, no espírito do que Schoemaker (1995) designa como uma «heurística disciplinada».³</w:t>
      </w:r>
    </w:p>
    <w:p>
      <w:pPr>
        <w:pStyle w:val="Heading2"/>
        <w:spacing w:before="280" w:after="200"/>
      </w:pPr>
      <w:r>
        <w:rPr>
          <w:rFonts w:ascii="Times New Roman" w:cs="Times New Roman" w:eastAsia="Times New Roman" w:hAnsi="Times New Roman"/>
          <w:b/>
          <w:bCs/>
          <w:sz w:val="28"/>
          <w:szCs w:val="28"/>
        </w:rPr>
        <w:t xml:space="preserve">2.2 Fontes de dados: classificação e avaliação crítica</w:t>
      </w:r>
    </w:p>
    <w:p>
      <w:pPr>
        <w:spacing w:after="120" w:before="0" w:line="276"/>
        <w:jc w:val="both"/>
      </w:pPr>
      <w:r>
        <w:rPr>
          <w:rFonts w:ascii="Times New Roman" w:cs="Times New Roman" w:eastAsia="Times New Roman" w:hAnsi="Times New Roman"/>
          <w:sz w:val="24"/>
          <w:szCs w:val="24"/>
        </w:rPr>
        <w:t xml:space="preserve">O estudo mobiliza três categorias de fontes, cuja fiabilidade e viéses potenciais devem ser explicitamente reconhecidos. Esta transparência metodológica está conforme às recomendações do OECD/JRC Handbook on Constructing Composite Indicators (Nardo et al., 2008), que prescreve uma documentação sistemática das fontes, das suas limitações e dos seus viéses em qualquer construção de indicador composto.⁴</w:t>
      </w:r>
    </w:p>
    <w:p>
      <w:pPr>
        <w:pStyle w:val="Heading3"/>
        <w:spacing w:before="240" w:after="160"/>
      </w:pPr>
      <w:r>
        <w:rPr>
          <w:rFonts w:ascii="Times New Roman" w:cs="Times New Roman" w:eastAsia="Times New Roman" w:hAnsi="Times New Roman"/>
          <w:b/>
          <w:bCs/>
          <w:i/>
          <w:iCs/>
          <w:sz w:val="26"/>
          <w:szCs w:val="26"/>
        </w:rPr>
        <w:t xml:space="preserve">2.2.1 Fontes primárias (documentos oficiais e regulamentários)</w:t>
      </w:r>
    </w:p>
    <w:p>
      <w:pPr>
        <w:spacing w:after="120" w:before="0" w:line="276"/>
        <w:jc w:val="both"/>
      </w:pPr>
      <w:r>
        <w:rPr>
          <w:rFonts w:ascii="Times New Roman" w:cs="Times New Roman" w:eastAsia="Times New Roman" w:hAnsi="Times New Roman"/>
          <w:sz w:val="24"/>
          <w:szCs w:val="24"/>
        </w:rPr>
        <w:t xml:space="preserve">Esta categoria inclui textos com força normativa ou institucional: proclamações presidenciais (Section 232), regras do BIS (AI Diffusion Rule, Entity List), relatórios da IEA, publicações do Parlamento Europeu (EPRS), dados estatísticos oficiais (SIA/WSTS para semicondutores, Eurostat e EIA para energia, RTE para a França). Estas fontes oferecem a mais alta fiabilidade factual, mas podem conter viéses de enquadramento institucional.</w:t>
      </w:r>
    </w:p>
    <w:p>
      <w:pPr>
        <w:pStyle w:val="Heading3"/>
        <w:spacing w:before="240" w:after="160"/>
      </w:pPr>
      <w:r>
        <w:rPr>
          <w:rFonts w:ascii="Times New Roman" w:cs="Times New Roman" w:eastAsia="Times New Roman" w:hAnsi="Times New Roman"/>
          <w:b/>
          <w:bCs/>
          <w:i/>
          <w:iCs/>
          <w:sz w:val="26"/>
          <w:szCs w:val="26"/>
        </w:rPr>
        <w:t xml:space="preserve">2.2.2 Fontes académicas e think tanks</w:t>
      </w:r>
    </w:p>
    <w:p>
      <w:pPr>
        <w:spacing w:after="120" w:before="0" w:line="276"/>
        <w:jc w:val="both"/>
      </w:pPr>
      <w:r>
        <w:rPr>
          <w:rFonts w:ascii="Times New Roman" w:cs="Times New Roman" w:eastAsia="Times New Roman" w:hAnsi="Times New Roman"/>
          <w:sz w:val="24"/>
          <w:szCs w:val="24"/>
        </w:rPr>
        <w:t xml:space="preserve">Esta categoria inclui artigos peer-reviewed (Farrell &amp; Newman, 2019; Bresnahan &amp; Trajtenberg, 1995; Brynjolfsson et al., 2019; Mügge, 2024) e publicações de think tanks reconhecidos (Bruegel, Carnegie Endowment, CSIS, OCDE, Federal Reserve Board). Privilegiamos o cruzamento de fontes de orientações diferentes (Bruegel / Carnegie / Fed) para limitar o viés.</w:t>
      </w:r>
    </w:p>
    <w:p>
      <w:pPr>
        <w:pStyle w:val="Heading3"/>
        <w:spacing w:before="240" w:after="160"/>
      </w:pPr>
      <w:r>
        <w:rPr>
          <w:rFonts w:ascii="Times New Roman" w:cs="Times New Roman" w:eastAsia="Times New Roman" w:hAnsi="Times New Roman"/>
          <w:b/>
          <w:bCs/>
          <w:i/>
          <w:iCs/>
          <w:sz w:val="26"/>
          <w:szCs w:val="26"/>
        </w:rPr>
        <w:t xml:space="preserve">2.2.3 Fontes indústria e consultoria</w:t>
      </w:r>
    </w:p>
    <w:p>
      <w:pPr>
        <w:spacing w:after="120" w:before="0" w:line="276"/>
        <w:jc w:val="both"/>
      </w:pPr>
      <w:r>
        <w:rPr>
          <w:rFonts w:ascii="Times New Roman" w:cs="Times New Roman" w:eastAsia="Times New Roman" w:hAnsi="Times New Roman"/>
          <w:sz w:val="24"/>
          <w:szCs w:val="24"/>
        </w:rPr>
        <w:t xml:space="preserve">McKinsey, Deloitte, Accenture, Epoch AI e CFG Europe fornecem dados de mercado, projeções setoriais e estimativas de capacidade não disponíveis em fontes públicas. Estas fontes apresentam um viés sistemático potencial de otimismo. Atenuamos este viés triangulando os números com dados institucionais e sinalizando explicitamente as divergências entre fontes.⁵</w:t>
      </w:r>
    </w:p>
    <w:p>
      <w:pPr>
        <w:pStyle w:val="Heading3"/>
        <w:spacing w:before="240" w:after="160"/>
      </w:pPr>
      <w:r>
        <w:rPr>
          <w:rFonts w:ascii="Times New Roman" w:cs="Times New Roman" w:eastAsia="Times New Roman" w:hAnsi="Times New Roman"/>
          <w:b/>
          <w:bCs/>
          <w:i/>
          <w:iCs/>
          <w:sz w:val="26"/>
          <w:szCs w:val="26"/>
        </w:rPr>
        <w:t xml:space="preserve">2.2.4 Dados de compute IA: o dataset Epoch AI GPU Clusters</w:t>
      </w:r>
    </w:p>
    <w:p>
      <w:pPr>
        <w:spacing w:after="120" w:before="0" w:line="276"/>
        <w:jc w:val="both"/>
      </w:pPr>
      <w:r>
        <w:rPr>
          <w:rFonts w:ascii="Times New Roman" w:cs="Times New Roman" w:eastAsia="Times New Roman" w:hAnsi="Times New Roman"/>
          <w:sz w:val="24"/>
          <w:szCs w:val="24"/>
        </w:rPr>
        <w:t xml:space="preserve">A medição do compute IA instalado por país constitui o desafio metodológico central deste estudo. Apoiamo-nos principalmente no dataset Epoch AI GPU Clusters (Pilz, Rahman, Sanders &amp; Heim, 2025), que recensa mais de 500 supercomputadores e clusters GPU em todo o mundo para o período 2019–2025.⁶ Este dataset, disponível em acesso livre sob licença Creative Commons Attribution, constitui a fonte mais completa e sistematicamente documentada sobre a infraestrutura mundial de compute IA. É utilizado como referência pelo Stanford AI Index Report (2025), por vários relatórios governamentais e por instituições como a OpenAI e a DeepMind.</w:t>
      </w:r>
    </w:p>
    <w:p>
      <w:pPr>
        <w:spacing w:after="120" w:before="0" w:line="276"/>
        <w:jc w:val="both"/>
      </w:pPr>
      <w:r>
        <w:rPr>
          <w:rFonts w:ascii="Times New Roman" w:cs="Times New Roman" w:eastAsia="Times New Roman" w:hAnsi="Times New Roman"/>
          <w:sz w:val="24"/>
          <w:szCs w:val="24"/>
        </w:rPr>
        <w:t xml:space="preserve">O dataset cobre para cada cluster: o país de implantação, o tipo de chips (H100, A100, GB200, TPU, etc.), a performance computacional em FLOP/s 16-bit, o número de equivalentes H100, a data de entrada em serviço, o setor (privado/público), a potência elétrica (MW) e o custo estimado do hardware.</w:t>
      </w:r>
    </w:p>
    <w:p>
      <w:pPr>
        <w:spacing w:after="120" w:before="0" w:line="276"/>
        <w:jc w:val="both"/>
      </w:pPr>
      <w:r>
        <w:rPr>
          <w:rFonts w:ascii="Times New Roman" w:cs="Times New Roman" w:eastAsia="Times New Roman" w:hAnsi="Times New Roman"/>
          <w:b/>
          <w:bCs/>
          <w:sz w:val="24"/>
          <w:szCs w:val="24"/>
        </w:rPr>
        <w:t xml:space="preserve">Limitações do dataset Epoch AI.</w:t>
      </w:r>
      <w:r>
        <w:rPr>
          <w:rFonts w:ascii="Times New Roman" w:cs="Times New Roman" w:eastAsia="Times New Roman" w:hAnsi="Times New Roman"/>
          <w:sz w:val="24"/>
          <w:szCs w:val="24"/>
        </w:rPr>
        <w:t xml:space="preserve"> Três limitações devem ser sublinhadas. Primeiro, a cobertura é estimada em 10–20% da performance agregada mundial de compute IA (março 2025), com heterogeneidade significativa entre empresas e tipos de chips.⁷ Segundo, os sistemas chineses são anonimizados (nomes removidos, valores arredondados). Terceiro, a localização física de um cluster não determina o acesso: muitos clusters são acessíveis via serviços cloud de outros países.</w:t>
      </w:r>
    </w:p>
    <w:p>
      <w:pPr>
        <w:spacing w:after="120" w:before="0" w:line="276"/>
        <w:jc w:val="both"/>
      </w:pPr>
      <w:r>
        <w:rPr>
          <w:rFonts w:ascii="Times New Roman" w:cs="Times New Roman" w:eastAsia="Times New Roman" w:hAnsi="Times New Roman"/>
          <w:sz w:val="24"/>
          <w:szCs w:val="24"/>
        </w:rPr>
        <w:t xml:space="preserve">Complementamos estes dados com o OECD Working Paper de Lehdonvirta, Wu, Hawkins et al. (outubro 2025), que desenvolve uma metodologia para estimar a disponibilidade de compute cloud público para IA por país, em 39 economias.⁸</w:t>
      </w:r>
    </w:p>
    <w:p>
      <w:pPr>
        <w:pStyle w:val="Heading2"/>
        <w:spacing w:before="280" w:after="200"/>
      </w:pPr>
      <w:r>
        <w:rPr>
          <w:rFonts w:ascii="Times New Roman" w:cs="Times New Roman" w:eastAsia="Times New Roman" w:hAnsi="Times New Roman"/>
          <w:b/>
          <w:bCs/>
          <w:sz w:val="28"/>
          <w:szCs w:val="28"/>
        </w:rPr>
        <w:t xml:space="preserve">2.3 Construção dos cenários</w:t>
      </w:r>
    </w:p>
    <w:p>
      <w:pPr>
        <w:spacing w:after="120" w:before="0" w:line="276"/>
        <w:jc w:val="both"/>
      </w:pPr>
      <w:r>
        <w:rPr>
          <w:rFonts w:ascii="Times New Roman" w:cs="Times New Roman" w:eastAsia="Times New Roman" w:hAnsi="Times New Roman"/>
          <w:sz w:val="24"/>
          <w:szCs w:val="24"/>
        </w:rPr>
        <w:t xml:space="preserve">A construção dos cenários segue um protocolo em quatro etapas, inspirado na metodologia da matriz 2×2 (Schwartz, 1991; van der Heijden, 2004) e adaptado ao contexto geoestratégico da IA.⁹</w:t>
      </w:r>
    </w:p>
    <w:p>
      <w:pPr>
        <w:pStyle w:val="Heading3"/>
        <w:spacing w:before="240" w:after="160"/>
      </w:pPr>
      <w:r>
        <w:rPr>
          <w:rFonts w:ascii="Times New Roman" w:cs="Times New Roman" w:eastAsia="Times New Roman" w:hAnsi="Times New Roman"/>
          <w:b/>
          <w:bCs/>
          <w:i/>
          <w:iCs/>
          <w:sz w:val="26"/>
          <w:szCs w:val="26"/>
        </w:rPr>
        <w:t xml:space="preserve">Etapa 1 — Identificação das forças motrizes</w:t>
      </w:r>
    </w:p>
    <w:p>
      <w:pPr>
        <w:spacing w:after="120" w:before="0" w:line="276"/>
        <w:jc w:val="both"/>
      </w:pPr>
      <w:r>
        <w:rPr>
          <w:rFonts w:ascii="Times New Roman" w:cs="Times New Roman" w:eastAsia="Times New Roman" w:hAnsi="Times New Roman"/>
          <w:b/>
          <w:bCs/>
          <w:sz w:val="24"/>
          <w:szCs w:val="24"/>
        </w:rPr>
        <w:t xml:space="preserve">Os elementos predeterminados</w:t>
      </w:r>
      <w:r>
        <w:rPr>
          <w:rFonts w:ascii="Times New Roman" w:cs="Times New Roman" w:eastAsia="Times New Roman" w:hAnsi="Times New Roman"/>
          <w:sz w:val="24"/>
          <w:szCs w:val="24"/>
        </w:rPr>
        <w:t xml:space="preserve"> incluem: (i) crescimento contínuo da procura mundial de compute IA, (ii) aumento estrutural do consumo energético dos data centers, (iii) dependência europeia das fundições asiáticas e americanas para o leading-edge, (iv) concentração do cloud mundial em três hyperscalers dos EUA, e (v) aumento exponencial dos custos de treino dos modelos de fronteira.</w:t>
      </w:r>
    </w:p>
    <w:p>
      <w:pPr>
        <w:spacing w:after="120" w:before="0" w:line="276"/>
        <w:jc w:val="both"/>
      </w:pPr>
      <w:r>
        <w:rPr>
          <w:rFonts w:ascii="Times New Roman" w:cs="Times New Roman" w:eastAsia="Times New Roman" w:hAnsi="Times New Roman"/>
          <w:b/>
          <w:bCs/>
          <w:sz w:val="24"/>
          <w:szCs w:val="24"/>
        </w:rPr>
        <w:t xml:space="preserve">As incertezas críticas</w:t>
      </w:r>
      <w:r>
        <w:rPr>
          <w:rFonts w:ascii="Times New Roman" w:cs="Times New Roman" w:eastAsia="Times New Roman" w:hAnsi="Times New Roman"/>
          <w:sz w:val="24"/>
          <w:szCs w:val="24"/>
        </w:rPr>
        <w:t xml:space="preserve"> são agrupadas em duas dimensões:</w:t>
      </w:r>
    </w:p>
    <w:p>
      <w:pPr>
        <w:spacing w:after="120" w:before="0" w:line="276"/>
        <w:jc w:val="both"/>
      </w:pPr>
      <w:r>
        <w:rPr>
          <w:rFonts w:ascii="Times New Roman" w:cs="Times New Roman" w:eastAsia="Times New Roman" w:hAnsi="Times New Roman"/>
          <w:b/>
          <w:bCs/>
          <w:sz w:val="24"/>
          <w:szCs w:val="24"/>
        </w:rPr>
        <w:t xml:space="preserve">Dimensão 1: Intensidade do protecionismo tecnológico dos EUA. </w:t>
      </w:r>
      <w:r>
        <w:rPr>
          <w:rFonts w:ascii="Times New Roman" w:cs="Times New Roman" w:eastAsia="Times New Roman" w:hAnsi="Times New Roman"/>
          <w:sz w:val="24"/>
          <w:szCs w:val="24"/>
        </w:rPr>
        <w:t xml:space="preserve">Esta dimensão cobre um espectro que vai da manutenção das restrições atuais até um endurecimento agressivo (quotas de GPU para a UE, restrições sobre APIs e modelos).</w:t>
      </w:r>
    </w:p>
    <w:p>
      <w:pPr>
        <w:spacing w:after="120" w:before="0" w:line="276"/>
        <w:jc w:val="both"/>
      </w:pPr>
      <w:r>
        <w:rPr>
          <w:rFonts w:ascii="Times New Roman" w:cs="Times New Roman" w:eastAsia="Times New Roman" w:hAnsi="Times New Roman"/>
          <w:b/>
          <w:bCs/>
          <w:sz w:val="24"/>
          <w:szCs w:val="24"/>
        </w:rPr>
        <w:t xml:space="preserve">Dimensão 2: Capacidade de resposta europeia. </w:t>
      </w:r>
      <w:r>
        <w:rPr>
          <w:rFonts w:ascii="Times New Roman" w:cs="Times New Roman" w:eastAsia="Times New Roman" w:hAnsi="Times New Roman"/>
          <w:sz w:val="24"/>
          <w:szCs w:val="24"/>
        </w:rPr>
        <w:t xml:space="preserve">Esta dimensão cobre um espectro que vai de uma postura passiva até uma resposta ativa (Compute Zones com energia derrogada, AI Factories aceleradas, nuclear SMR para data centers, parcerias alternativas Japão-Coreia-Taiwan, revisão do AI Act).</w:t>
      </w:r>
    </w:p>
    <w:p>
      <w:pPr>
        <w:pStyle w:val="Heading3"/>
        <w:spacing w:before="240" w:after="160"/>
      </w:pPr>
      <w:r>
        <w:rPr>
          <w:rFonts w:ascii="Times New Roman" w:cs="Times New Roman" w:eastAsia="Times New Roman" w:hAnsi="Times New Roman"/>
          <w:b/>
          <w:bCs/>
          <w:i/>
          <w:iCs/>
          <w:sz w:val="26"/>
          <w:szCs w:val="26"/>
        </w:rPr>
        <w:t xml:space="preserve">Etapa 2 — Matriz 2×2 e geração dos cenários</w:t>
      </w:r>
    </w:p>
    <w:p>
      <w:pPr>
        <w:spacing w:after="120" w:before="0" w:line="276"/>
        <w:jc w:val="both"/>
      </w:pPr>
      <w:r>
        <w:rPr>
          <w:rFonts w:ascii="Times New Roman" w:cs="Times New Roman" w:eastAsia="Times New Roman" w:hAnsi="Times New Roman"/>
          <w:sz w:val="24"/>
          <w:szCs w:val="24"/>
        </w:rPr>
        <w:t xml:space="preserve">O cruzamento das duas dimensões de incerteza gera uma matriz de quatro cenários. A escolha de quatro cenários em vez de três é deliberada. Schwartz (1991) recomenda nunca construir três cenários, pois a mente humana tende a tratar o cenário mediano como o «mais provável».¹⁰</w:t>
      </w:r>
    </w:p>
    <w:p>
      <w:pPr>
        <w:pStyle w:val="Heading3"/>
        <w:spacing w:before="240" w:after="160"/>
      </w:pPr>
      <w:r>
        <w:rPr>
          <w:rFonts w:ascii="Times New Roman" w:cs="Times New Roman" w:eastAsia="Times New Roman" w:hAnsi="Times New Roman"/>
          <w:b/>
          <w:bCs/>
          <w:i/>
          <w:iCs/>
          <w:sz w:val="26"/>
          <w:szCs w:val="26"/>
        </w:rPr>
        <w:t xml:space="preserve">Etapa 3 — Desenvolvimento narrativo e quantificação</w:t>
      </w:r>
    </w:p>
    <w:p>
      <w:pPr>
        <w:spacing w:after="120" w:before="0" w:line="276"/>
        <w:jc w:val="both"/>
      </w:pPr>
      <w:r>
        <w:rPr>
          <w:rFonts w:ascii="Times New Roman" w:cs="Times New Roman" w:eastAsia="Times New Roman" w:hAnsi="Times New Roman"/>
          <w:sz w:val="24"/>
          <w:szCs w:val="24"/>
        </w:rPr>
        <w:t xml:space="preserve">Cada cenário é desenvolvido segundo um protocolo padronizado em três componentes: (a) uma narrativa estratégica descrevendo a sequência plausível de eventos entre 2026 e 2030, (b) uma quantificação das métricas-chave, e (c) indicadores de alerta precoce (leading indicators).</w:t>
      </w:r>
    </w:p>
    <w:p>
      <w:pPr>
        <w:pStyle w:val="Heading3"/>
        <w:spacing w:before="240" w:after="160"/>
      </w:pPr>
      <w:r>
        <w:rPr>
          <w:rFonts w:ascii="Times New Roman" w:cs="Times New Roman" w:eastAsia="Times New Roman" w:hAnsi="Times New Roman"/>
          <w:b/>
          <w:bCs/>
          <w:i/>
          <w:iCs/>
          <w:sz w:val="26"/>
          <w:szCs w:val="26"/>
        </w:rPr>
        <w:t xml:space="preserve">Etapa 4 — Análise de sensibilidade e robustez</w:t>
      </w:r>
    </w:p>
    <w:p>
      <w:pPr>
        <w:spacing w:after="120" w:before="0" w:line="276"/>
        <w:jc w:val="both"/>
      </w:pPr>
      <w:r>
        <w:rPr>
          <w:rFonts w:ascii="Times New Roman" w:cs="Times New Roman" w:eastAsia="Times New Roman" w:hAnsi="Times New Roman"/>
          <w:sz w:val="24"/>
          <w:szCs w:val="24"/>
        </w:rPr>
        <w:t xml:space="preserve">Para cada recomendação formulada no Capítulo VII, avaliamos a sua robustez face aos quatro cenários. Uma recomendação é considerada robusta se produzir resultados positivos ou neutros em pelo menos três dos quatro cenários.</w:t>
      </w:r>
    </w:p>
    <w:p>
      <w:pPr>
        <w:pStyle w:val="Heading2"/>
        <w:spacing w:before="280" w:after="200"/>
      </w:pPr>
      <w:r>
        <w:rPr>
          <w:rFonts w:ascii="Times New Roman" w:cs="Times New Roman" w:eastAsia="Times New Roman" w:hAnsi="Times New Roman"/>
          <w:b/>
          <w:bCs/>
          <w:sz w:val="28"/>
          <w:szCs w:val="28"/>
        </w:rPr>
        <w:t xml:space="preserve">2.4 Métricas-chave e indicador original: o CACI</w:t>
      </w:r>
    </w:p>
    <w:p>
      <w:pPr>
        <w:pStyle w:val="Heading3"/>
        <w:spacing w:before="240" w:after="160"/>
      </w:pPr>
      <w:r>
        <w:rPr>
          <w:rFonts w:ascii="Times New Roman" w:cs="Times New Roman" w:eastAsia="Times New Roman" w:hAnsi="Times New Roman"/>
          <w:b/>
          <w:bCs/>
          <w:i/>
          <w:iCs/>
          <w:sz w:val="26"/>
          <w:szCs w:val="26"/>
        </w:rPr>
        <w:t xml:space="preserve">2.4.1 As seis métricas de divergência</w:t>
      </w:r>
    </w:p>
    <w:p>
      <w:pPr>
        <w:spacing w:after="120" w:before="0" w:line="276"/>
        <w:jc w:val="both"/>
      </w:pPr>
      <w:r>
        <w:rPr>
          <w:rFonts w:ascii="Times New Roman" w:cs="Times New Roman" w:eastAsia="Times New Roman" w:hAnsi="Times New Roman"/>
          <w:sz w:val="24"/>
          <w:szCs w:val="24"/>
        </w:rPr>
        <w:t xml:space="preserve">Definimos seis métricas que serão calculadas ou estimadas no diagnóstico empírico (Capítulo III) e projetadas em cada cenário (Capítulo V): M1 (compute gap), M2 (custo relativo do FLOP), M3 (dependência cloud), M4 (produtividade IA setorial), M5 (restrição energética), e M6 (deslocalizações IA).</w:t>
      </w:r>
    </w:p>
    <w:p>
      <w:pPr>
        <w:pStyle w:val="Heading3"/>
        <w:spacing w:before="240" w:after="160"/>
      </w:pPr>
      <w:r>
        <w:rPr>
          <w:rFonts w:ascii="Times New Roman" w:cs="Times New Roman" w:eastAsia="Times New Roman" w:hAnsi="Times New Roman"/>
          <w:b/>
          <w:bCs/>
          <w:i/>
          <w:iCs/>
          <w:sz w:val="26"/>
          <w:szCs w:val="26"/>
        </w:rPr>
        <w:t xml:space="preserve">2.4.2 O Compute-Adjusted Competitiveness Index (CACI): fundamentos teóricos e construção</w:t>
      </w:r>
    </w:p>
    <w:p>
      <w:pPr>
        <w:spacing w:after="120" w:before="0" w:line="276"/>
        <w:jc w:val="both"/>
      </w:pPr>
      <w:r>
        <w:rPr>
          <w:rFonts w:ascii="Times New Roman" w:cs="Times New Roman" w:eastAsia="Times New Roman" w:hAnsi="Times New Roman"/>
          <w:b/>
          <w:bCs/>
          <w:sz w:val="24"/>
          <w:szCs w:val="24"/>
        </w:rPr>
        <w:t xml:space="preserve">Ancoragem na literatura.</w:t>
      </w:r>
      <w:r>
        <w:rPr>
          <w:rFonts w:ascii="Times New Roman" w:cs="Times New Roman" w:eastAsia="Times New Roman" w:hAnsi="Times New Roman"/>
          <w:sz w:val="24"/>
          <w:szCs w:val="24"/>
        </w:rPr>
        <w:t xml:space="preserve"> A construção de um indicador composto de competitividade em IA centrado no compute responde a uma necessidade identificada por várias correntes de investigação convergentes. Desde 2023–2024, a literatura académica e institucional sublinha crescentemente que a capacidade de cálculo se tornou o fator de produção mais discriminante para a IA de fronteira (Sevilla et al., 2022; Epoch AI, 2025; Pilz et al., 2025). Os controlos de exportação americanos colocam explicitamente o compute avançado no cerne da competição geopolítica, enquanto Hawkins, Lehdonvirta &amp; Wu (2025) introduzem o conceito de «soberania do compute» como dimensão estruturante da autonomia estratégica.¹¹</w:t>
      </w:r>
    </w:p>
    <w:p>
      <w:pPr>
        <w:spacing w:after="120" w:before="0" w:line="276"/>
        <w:jc w:val="both"/>
      </w:pPr>
      <w:r>
        <w:rPr>
          <w:rFonts w:ascii="Times New Roman" w:cs="Times New Roman" w:eastAsia="Times New Roman" w:hAnsi="Times New Roman"/>
          <w:sz w:val="24"/>
          <w:szCs w:val="24"/>
        </w:rPr>
        <w:t xml:space="preserve">Contudo, os índices de competitividade em IA existentes não colocam o compute no centro da sua construção. O AI Preparedness Index do FMI (Cazzaniga et al., 2024), cobrindo 174 países, agrega quatro dimensões sem medir diretamente a capacidade de cálculo instalada.¹² O Global AI Index da Tortoise Media (2024) classifica 83 países mas dilui o sinal do compute num composto de múltiplos indicadores.¹³ O Stanford AI Index (2025) fornece dados ricos sobre tendências de compute mas não propõe nenhum índice composto. Nenhum destes instrumentos formaliza o mecanismo pelo qual o compute, ajustado do seu custo energético e relacionado com a capacidade de absorção de uma economia, determina a competitividade em IA.</w:t>
      </w:r>
    </w:p>
    <w:p>
      <w:pPr>
        <w:spacing w:after="120" w:before="0" w:line="276"/>
        <w:jc w:val="both"/>
      </w:pPr>
      <w:r>
        <w:rPr>
          <w:rFonts w:ascii="Times New Roman" w:cs="Times New Roman" w:eastAsia="Times New Roman" w:hAnsi="Times New Roman"/>
          <w:sz w:val="24"/>
          <w:szCs w:val="24"/>
        </w:rPr>
        <w:t xml:space="preserve">O CACI visa colmatar esta lacuna propondo um indicador parcimonioso mas teoricamente fundamentado, que captura a interação multiplicativa entre três fatores: o compute acessível, o custo energético que o condiciona, e a capacidade económica e humana para o explorar.</w:t>
      </w:r>
    </w:p>
    <w:p>
      <w:pPr>
        <w:spacing w:after="120" w:before="0" w:line="276"/>
        <w:jc w:val="both"/>
      </w:pPr>
      <w:r>
        <w:rPr>
          <w:rFonts w:ascii="Times New Roman" w:cs="Times New Roman" w:eastAsia="Times New Roman" w:hAnsi="Times New Roman"/>
          <w:b/>
          <w:bCs/>
          <w:sz w:val="24"/>
          <w:szCs w:val="24"/>
        </w:rPr>
        <w:t xml:space="preserve">Definição formal.</w:t>
      </w:r>
      <w:r>
        <w:rPr>
          <w:rFonts w:ascii="Times New Roman" w:cs="Times New Roman" w:eastAsia="Times New Roman" w:hAnsi="Times New Roman"/>
          <w:sz w:val="24"/>
          <w:szCs w:val="24"/>
        </w:rPr>
        <w:t xml:space="preserve"> O CACI para uma região r no período t é definido como:</w:t>
      </w:r>
    </w:p>
    <w:p>
      <w:pPr>
        <w:spacing w:after="200" w:before="120" w:line="276"/>
        <w:jc w:val="center"/>
      </w:pPr>
      <w:r>
        <w:rPr>
          <w:rFonts w:ascii="Times New Roman" w:cs="Times New Roman" w:eastAsia="Times New Roman" w:hAnsi="Times New Roman"/>
          <w:b/>
          <w:bCs/>
          <w:sz w:val="24"/>
          <w:szCs w:val="24"/>
        </w:rPr>
        <w:t xml:space="preserve">CACI(r,t) = [ F(r,t) × E(r,t)⁻¹ ] / [ PIB(r,t) × L(r,t) ]</w:t>
      </w:r>
    </w:p>
    <w:p>
      <w:pPr>
        <w:spacing w:after="120" w:before="0" w:line="276"/>
        <w:ind w:left="360"/>
        <w:jc w:val="both"/>
      </w:pPr>
      <w:r>
        <w:rPr>
          <w:rFonts w:ascii="Times New Roman" w:cs="Times New Roman" w:eastAsia="Times New Roman" w:hAnsi="Times New Roman"/>
          <w:b/>
          <w:bCs/>
          <w:i/>
          <w:iCs/>
          <w:sz w:val="24"/>
          <w:szCs w:val="24"/>
        </w:rPr>
        <w:t xml:space="preserve">F(r,t)</w:t>
      </w:r>
      <w:r>
        <w:rPr>
          <w:rFonts w:ascii="Times New Roman" w:cs="Times New Roman" w:eastAsia="Times New Roman" w:hAnsi="Times New Roman"/>
          <w:sz w:val="24"/>
          <w:szCs w:val="24"/>
        </w:rPr>
        <w:t xml:space="preserve"> = capacidade de compute IA instalada e acessível na região r, medida em FLOP/s agregados (performance 16-bit). Utilizamos os dados Epoch AI GPU Clusters agregados por país e ano, complementados pelas estimativas da OCDE de compute cloud acessível.</w:t>
      </w:r>
    </w:p>
    <w:p>
      <w:pPr>
        <w:spacing w:after="120" w:before="0" w:line="276"/>
        <w:ind w:left="360"/>
        <w:jc w:val="both"/>
      </w:pPr>
      <w:r>
        <w:rPr>
          <w:rFonts w:ascii="Times New Roman" w:cs="Times New Roman" w:eastAsia="Times New Roman" w:hAnsi="Times New Roman"/>
          <w:b/>
          <w:bCs/>
          <w:i/>
          <w:iCs/>
          <w:sz w:val="24"/>
          <w:szCs w:val="24"/>
        </w:rPr>
        <w:t xml:space="preserve">E(r,t)</w:t>
      </w:r>
      <w:r>
        <w:rPr>
          <w:rFonts w:ascii="Times New Roman" w:cs="Times New Roman" w:eastAsia="Times New Roman" w:hAnsi="Times New Roman"/>
          <w:sz w:val="24"/>
          <w:szCs w:val="24"/>
        </w:rPr>
        <w:t xml:space="preserve"> = custo energético médio do compute na região r, em €/MWh para data centers. A FLOPs iguais, um país com eletricidade duas vezes mais cara tem um CACI duas vezes mais baixo.</w:t>
      </w:r>
    </w:p>
    <w:p>
      <w:pPr>
        <w:spacing w:after="120" w:before="0" w:line="276"/>
        <w:ind w:left="360"/>
        <w:jc w:val="both"/>
      </w:pPr>
      <w:r>
        <w:rPr>
          <w:rFonts w:ascii="Times New Roman" w:cs="Times New Roman" w:eastAsia="Times New Roman" w:hAnsi="Times New Roman"/>
          <w:b/>
          <w:bCs/>
          <w:i/>
          <w:iCs/>
          <w:sz w:val="24"/>
          <w:szCs w:val="24"/>
        </w:rPr>
        <w:t xml:space="preserve">PIB(r,t)</w:t>
      </w:r>
      <w:r>
        <w:rPr>
          <w:rFonts w:ascii="Times New Roman" w:cs="Times New Roman" w:eastAsia="Times New Roman" w:hAnsi="Times New Roman"/>
          <w:sz w:val="24"/>
          <w:szCs w:val="24"/>
        </w:rPr>
        <w:t xml:space="preserve"> = produto interno bruto da região r (Banco Mundial, Eurostat). A normalização pelo PIB assegura a comparabilidade entre economias de dimensões muito diferentes.</w:t>
      </w:r>
    </w:p>
    <w:p>
      <w:pPr>
        <w:spacing w:after="120" w:before="0" w:line="276"/>
        <w:ind w:left="360"/>
        <w:jc w:val="both"/>
      </w:pPr>
      <w:r>
        <w:rPr>
          <w:rFonts w:ascii="Times New Roman" w:cs="Times New Roman" w:eastAsia="Times New Roman" w:hAnsi="Times New Roman"/>
          <w:b/>
          <w:bCs/>
          <w:i/>
          <w:iCs/>
          <w:sz w:val="24"/>
          <w:szCs w:val="24"/>
        </w:rPr>
        <w:t xml:space="preserve">L(r,t)</w:t>
      </w:r>
      <w:r>
        <w:rPr>
          <w:rFonts w:ascii="Times New Roman" w:cs="Times New Roman" w:eastAsia="Times New Roman" w:hAnsi="Times New Roman"/>
          <w:sz w:val="24"/>
          <w:szCs w:val="24"/>
        </w:rPr>
        <w:t xml:space="preserve"> = população ativa com competências em IA (proxy: licenciados STEM + formações IA certificadas). Este fator captura a capacidade de absorção no sentido de Cohen &amp; Levinthal (1990).¹⁴</w:t>
      </w:r>
    </w:p>
    <w:p>
      <w:pPr>
        <w:spacing w:after="120" w:before="0" w:line="276"/>
        <w:jc w:val="both"/>
      </w:pPr>
      <w:r>
        <w:rPr>
          <w:rFonts w:ascii="Times New Roman" w:cs="Times New Roman" w:eastAsia="Times New Roman" w:hAnsi="Times New Roman"/>
          <w:b/>
          <w:bCs/>
          <w:sz w:val="24"/>
          <w:szCs w:val="24"/>
        </w:rPr>
        <w:t xml:space="preserve">Justificação da forma multiplicativa.</w:t>
      </w:r>
      <w:r>
        <w:rPr>
          <w:rFonts w:ascii="Times New Roman" w:cs="Times New Roman" w:eastAsia="Times New Roman" w:hAnsi="Times New Roman"/>
          <w:sz w:val="24"/>
          <w:szCs w:val="24"/>
        </w:rPr>
        <w:t xml:space="preserve"> A escolha de uma agregação multiplicativa (geométrica) em vez de aditiva (aritmética) é deliberada. Primeiro, a teoria das General Purpose Technologies (Bresnahan &amp; Trajtenberg, 1995) postula uma forte complementaridade entre os inputs de inovação. Segundo, o OECD/JRC Handbook (2008, p. 33) recomenda a agregação geométrica quando as componentes não são perfeitamente substituíveis. Terceiro, trabalhos recentes (Koronakos, Kritikos &amp; Sotiros, 2024) confirmam que as dimensões de competitividade em IA apresentam interações que tornam problemática uma agregação linear simples.¹⁵</w:t>
      </w:r>
    </w:p>
    <w:p>
      <w:pPr>
        <w:spacing w:after="120" w:before="0" w:line="276"/>
        <w:jc w:val="both"/>
      </w:pPr>
      <w:r>
        <w:rPr>
          <w:rFonts w:ascii="Times New Roman" w:cs="Times New Roman" w:eastAsia="Times New Roman" w:hAnsi="Times New Roman"/>
          <w:b/>
          <w:bCs/>
          <w:sz w:val="24"/>
          <w:szCs w:val="24"/>
        </w:rPr>
        <w:t xml:space="preserve">Interpretação económica.</w:t>
      </w:r>
      <w:r>
        <w:rPr>
          <w:rFonts w:ascii="Times New Roman" w:cs="Times New Roman" w:eastAsia="Times New Roman" w:hAnsi="Times New Roman"/>
          <w:sz w:val="24"/>
          <w:szCs w:val="24"/>
        </w:rPr>
        <w:t xml:space="preserve"> Em forma logarítmica: ln(CACI) = ln(F) − ln(E) − ln(PIB) − ln(L). O indicador é concebido para comparação bilateral: o rácio CACI(EUA)/CACI(UE) mede a vantagem competitiva relativa. Um rácio de 7 significa que, por unidade de PIB e a capital humano igual, os atores americanos dispõem de sete vezes mais compute efetivo que os atores europeus.</w:t>
      </w:r>
    </w:p>
    <w:p>
      <w:pPr>
        <w:pStyle w:val="Heading3"/>
        <w:spacing w:before="240" w:after="160"/>
      </w:pPr>
      <w:r>
        <w:rPr>
          <w:rFonts w:ascii="Times New Roman" w:cs="Times New Roman" w:eastAsia="Times New Roman" w:hAnsi="Times New Roman"/>
          <w:b/>
          <w:bCs/>
          <w:i/>
          <w:iCs/>
          <w:sz w:val="26"/>
          <w:szCs w:val="26"/>
        </w:rPr>
        <w:t xml:space="preserve">2.4.3 Protocolo de calibração e fontes de dados</w:t>
      </w:r>
    </w:p>
    <w:p>
      <w:pPr>
        <w:spacing w:after="120" w:before="0" w:line="276"/>
        <w:jc w:val="both"/>
      </w:pPr>
      <w:r>
        <w:rPr>
          <w:rFonts w:ascii="Times New Roman" w:cs="Times New Roman" w:eastAsia="Times New Roman" w:hAnsi="Times New Roman"/>
          <w:sz w:val="24"/>
          <w:szCs w:val="24"/>
        </w:rPr>
        <w:t xml:space="preserve">A calibração do CACI segue um protocolo em quatro etapas conforme às recomendações do OECD/JRC Handbook (2008): (i) identificação e recolha de dados brutos, (ii) tratamento de valores em falta e normalização, (iii) agregação, e (iv) análise de sensibilidade.</w:t>
      </w:r>
    </w:p>
    <w:p>
      <w:pPr>
        <w:spacing w:after="120" w:before="0" w:line="276"/>
        <w:jc w:val="both"/>
      </w:pPr>
      <w:r>
        <w:rPr>
          <w:rFonts w:ascii="Times New Roman" w:cs="Times New Roman" w:eastAsia="Times New Roman" w:hAnsi="Times New Roman"/>
          <w:b/>
          <w:bCs/>
          <w:sz w:val="24"/>
          <w:szCs w:val="24"/>
        </w:rPr>
        <w:t xml:space="preserve">F(r,t) — Capacidade de compute IA instalada.</w:t>
      </w:r>
      <w:r>
        <w:rPr>
          <w:rFonts w:ascii="Times New Roman" w:cs="Times New Roman" w:eastAsia="Times New Roman" w:hAnsi="Times New Roman"/>
          <w:sz w:val="24"/>
          <w:szCs w:val="24"/>
        </w:rPr>
        <w:t xml:space="preserve"> A estimação segue uma abordagem bottom-up em três camadas. A camada principal provem do dataset Epoch AI GPU Clusters (versão fevereiro 2026, 746 clusters). As quotas nacionais em maio 2025 são: EUA ~74,5%, China ~14,1%, UE ~4,8%, Noruega ~1,8%, Japão ~1,4%.¹⁶ A camada complementar provem da OCDE (Lehdonvirta et al., 2025). A terceira camada utiliza dados parciais publicados pelos hyperscalers e estimativas CFG Europe.¹⁷</w:t>
      </w:r>
    </w:p>
    <w:p>
      <w:pPr>
        <w:spacing w:after="120" w:before="0" w:line="276"/>
        <w:jc w:val="both"/>
      </w:pPr>
      <w:r>
        <w:rPr>
          <w:rFonts w:ascii="Times New Roman" w:cs="Times New Roman" w:eastAsia="Times New Roman" w:hAnsi="Times New Roman"/>
          <w:b/>
          <w:bCs/>
          <w:sz w:val="24"/>
          <w:szCs w:val="24"/>
        </w:rPr>
        <w:t xml:space="preserve">E(r,t) — Custo energético.</w:t>
      </w:r>
      <w:r>
        <w:rPr>
          <w:rFonts w:ascii="Times New Roman" w:cs="Times New Roman" w:eastAsia="Times New Roman" w:hAnsi="Times New Roman"/>
          <w:sz w:val="24"/>
          <w:szCs w:val="24"/>
        </w:rPr>
        <w:t xml:space="preserve"> Dados Eurostat (tarifas industriais de eletricidade) e EIA (preços EUA), ajustados para PPAs dos hyperscalers via estimativas IEA (2025). O custo UE é tipicamente 2 a 3 vezes superior ao dos EUA para eletricidade industrial.¹⁸</w:t>
      </w:r>
    </w:p>
    <w:p>
      <w:pPr>
        <w:spacing w:after="120" w:before="0" w:line="276"/>
        <w:jc w:val="both"/>
      </w:pPr>
      <w:r>
        <w:rPr>
          <w:rFonts w:ascii="Times New Roman" w:cs="Times New Roman" w:eastAsia="Times New Roman" w:hAnsi="Times New Roman"/>
          <w:b/>
          <w:bCs/>
          <w:sz w:val="24"/>
          <w:szCs w:val="24"/>
        </w:rPr>
        <w:t xml:space="preserve">PIB(r,t) e L(r,t).</w:t>
      </w:r>
      <w:r>
        <w:rPr>
          <w:rFonts w:ascii="Times New Roman" w:cs="Times New Roman" w:eastAsia="Times New Roman" w:hAnsi="Times New Roman"/>
          <w:sz w:val="24"/>
          <w:szCs w:val="24"/>
        </w:rPr>
        <w:t xml:space="preserve"> O PIB está disponível via o Banco Mundial e Eurostat. O proxy de capital humano IA L(r,t) combina três sub-indicadores: licenciados STEM (OCDE), densidade de competências IA (LinkedIn Economic Graph) e certificações IA.¹⁹</w:t>
      </w:r>
    </w:p>
    <w:p>
      <w:pPr>
        <w:pStyle w:val="Heading3"/>
        <w:spacing w:before="240" w:after="160"/>
      </w:pPr>
      <w:r>
        <w:rPr>
          <w:rFonts w:ascii="Times New Roman" w:cs="Times New Roman" w:eastAsia="Times New Roman" w:hAnsi="Times New Roman"/>
          <w:b/>
          <w:bCs/>
          <w:i/>
          <w:iCs/>
          <w:sz w:val="26"/>
          <w:szCs w:val="26"/>
        </w:rPr>
        <w:t xml:space="preserve">2.4.4 Posicionamento face aos índices de competitividade IA existentes</w:t>
      </w:r>
    </w:p>
    <w:p>
      <w:pPr>
        <w:spacing w:after="120" w:before="0" w:line="276"/>
        <w:jc w:val="both"/>
      </w:pPr>
      <w:r>
        <w:rPr>
          <w:rFonts w:ascii="Times New Roman" w:cs="Times New Roman" w:eastAsia="Times New Roman" w:hAnsi="Times New Roman"/>
          <w:b/>
          <w:bCs/>
          <w:sz w:val="24"/>
          <w:szCs w:val="24"/>
        </w:rPr>
        <w:t xml:space="preserve">O AI Preparedness Index do FMI (AIPI)</w:t>
      </w:r>
      <w:r>
        <w:rPr>
          <w:rFonts w:ascii="Times New Roman" w:cs="Times New Roman" w:eastAsia="Times New Roman" w:hAnsi="Times New Roman"/>
          <w:i w:val="false"/>
          <w:iCs w:val="false"/>
          <w:sz w:val="24"/>
          <w:szCs w:val="24"/>
        </w:rPr>
        <w:t xml:space="preserve"> cobre 174 países (2023) e agrega quatro pilares sem medir o compute instalado.²⁰ O </w:t>
      </w:r>
      <w:r>
        <w:rPr>
          <w:rFonts w:ascii="Times New Roman" w:cs="Times New Roman" w:eastAsia="Times New Roman" w:hAnsi="Times New Roman"/>
          <w:b/>
          <w:bCs/>
          <w:sz w:val="24"/>
          <w:szCs w:val="24"/>
        </w:rPr>
        <w:t xml:space="preserve">Global AI Index da Tortoise Media (GAII)</w:t>
      </w:r>
      <w:r>
        <w:rPr>
          <w:rFonts w:ascii="Times New Roman" w:cs="Times New Roman" w:eastAsia="Times New Roman" w:hAnsi="Times New Roman"/>
          <w:i w:val="false"/>
          <w:iCs w:val="false"/>
          <w:sz w:val="24"/>
          <w:szCs w:val="24"/>
        </w:rPr>
        <w:t xml:space="preserve"> classifica 83 países em 122 indicadores, mas dilui o sinal do compute. O </w:t>
      </w:r>
      <w:r>
        <w:rPr>
          <w:rFonts w:ascii="Times New Roman" w:cs="Times New Roman" w:eastAsia="Times New Roman" w:hAnsi="Times New Roman"/>
          <w:b/>
          <w:bCs/>
          <w:sz w:val="24"/>
          <w:szCs w:val="24"/>
        </w:rPr>
        <w:t xml:space="preserve">Stanford AI Index (2025)</w:t>
      </w:r>
      <w:r>
        <w:rPr>
          <w:rFonts w:ascii="Times New Roman" w:cs="Times New Roman" w:eastAsia="Times New Roman" w:hAnsi="Times New Roman"/>
          <w:sz w:val="24"/>
          <w:szCs w:val="24"/>
        </w:rPr>
        <w:t xml:space="preserve"> fornece dados ricos mas não propõe índice composto.²¹</w:t>
      </w:r>
    </w:p>
    <w:p>
      <w:pPr>
        <w:spacing w:after="120" w:before="0" w:line="276"/>
        <w:jc w:val="both"/>
      </w:pPr>
      <w:r>
        <w:rPr>
          <w:rFonts w:ascii="Times New Roman" w:cs="Times New Roman" w:eastAsia="Times New Roman" w:hAnsi="Times New Roman"/>
          <w:b/>
          <w:bCs/>
          <w:sz w:val="24"/>
          <w:szCs w:val="24"/>
        </w:rPr>
        <w:t xml:space="preserve">Valor acrescentado específico do CACI:</w:t>
      </w:r>
      <w:r>
        <w:rPr>
          <w:rFonts w:ascii="Times New Roman" w:cs="Times New Roman" w:eastAsia="Times New Roman" w:hAnsi="Times New Roman"/>
          <w:sz w:val="24"/>
          <w:szCs w:val="24"/>
        </w:rPr>
        <w:t xml:space="preserve"> (i) coloca o compute no centro; (ii) integra explicitamente o custo energético; (iii) utiliza agregação multiplicativa teoricamente fundamentada; (iv) é parcimonioso (quatro variáveis), transparente e reprodutível.</w:t>
      </w:r>
    </w:p>
    <w:p>
      <w:pPr>
        <w:pStyle w:val="Heading3"/>
        <w:spacing w:before="240" w:after="160"/>
      </w:pPr>
      <w:r>
        <w:rPr>
          <w:rFonts w:ascii="Times New Roman" w:cs="Times New Roman" w:eastAsia="Times New Roman" w:hAnsi="Times New Roman"/>
          <w:b/>
          <w:bCs/>
          <w:i/>
          <w:iCs/>
          <w:sz w:val="26"/>
          <w:szCs w:val="26"/>
        </w:rPr>
        <w:t xml:space="preserve">2.4.5 Limitações do CACI e análise de sensibilidade</w:t>
      </w:r>
    </w:p>
    <w:p>
      <w:pPr>
        <w:spacing w:after="120" w:before="0" w:line="276"/>
        <w:jc w:val="both"/>
      </w:pPr>
      <w:r>
        <w:rPr>
          <w:rFonts w:ascii="Times New Roman" w:cs="Times New Roman" w:eastAsia="Times New Roman" w:hAnsi="Times New Roman"/>
          <w:b/>
          <w:bCs/>
          <w:sz w:val="24"/>
          <w:szCs w:val="24"/>
        </w:rPr>
        <w:t xml:space="preserve">Primeira limitação: opacidade de F(r,t).</w:t>
      </w:r>
      <w:r>
        <w:rPr>
          <w:rFonts w:ascii="Times New Roman" w:cs="Times New Roman" w:eastAsia="Times New Roman" w:hAnsi="Times New Roman"/>
          <w:sz w:val="24"/>
          <w:szCs w:val="24"/>
        </w:rPr>
        <w:t xml:space="preserve"> O dataset Epoch AI cobre apenas 10–20% do compute mundial. Atenuação: documentamos margens de incerteza, apresentamos intervalos e verificamos a estabilidade dos resultados quando F varia ±30%.</w:t>
      </w:r>
    </w:p>
    <w:p>
      <w:pPr>
        <w:spacing w:after="120" w:before="0" w:line="276"/>
        <w:jc w:val="both"/>
      </w:pPr>
      <w:r>
        <w:rPr>
          <w:rFonts w:ascii="Times New Roman" w:cs="Times New Roman" w:eastAsia="Times New Roman" w:hAnsi="Times New Roman"/>
          <w:b/>
          <w:bCs/>
          <w:sz w:val="24"/>
          <w:szCs w:val="24"/>
        </w:rPr>
        <w:t xml:space="preserve">Segunda limitação: heterogeneidade qualitativa do compute.</w:t>
      </w:r>
      <w:r>
        <w:rPr>
          <w:rFonts w:ascii="Times New Roman" w:cs="Times New Roman" w:eastAsia="Times New Roman" w:hAnsi="Times New Roman"/>
          <w:sz w:val="24"/>
          <w:szCs w:val="24"/>
        </w:rPr>
        <w:t xml:space="preserve"> O CACI agrega FLOPs sem distinguir gerações de GPU. Atenuação: o dataset Epoch AI fornece equivalentes H100; propomos fator de ponderação em anexo.</w:t>
      </w:r>
    </w:p>
    <w:p>
      <w:pPr>
        <w:spacing w:after="120" w:before="0" w:line="276"/>
        <w:jc w:val="both"/>
      </w:pPr>
      <w:r>
        <w:rPr>
          <w:rFonts w:ascii="Times New Roman" w:cs="Times New Roman" w:eastAsia="Times New Roman" w:hAnsi="Times New Roman"/>
          <w:b/>
          <w:bCs/>
          <w:sz w:val="24"/>
          <w:szCs w:val="24"/>
        </w:rPr>
        <w:t xml:space="preserve">Terceira limitação: o proxy de capital humano.</w:t>
      </w:r>
      <w:r>
        <w:rPr>
          <w:rFonts w:ascii="Times New Roman" w:cs="Times New Roman" w:eastAsia="Times New Roman" w:hAnsi="Times New Roman"/>
          <w:sz w:val="24"/>
          <w:szCs w:val="24"/>
        </w:rPr>
        <w:t xml:space="preserve"> Viés em favor de países anglófonos. Atenuação: replicamos a análise com o sub-índice Human Capital do AIPI como proxy alternativo.</w:t>
      </w:r>
    </w:p>
    <w:p>
      <w:pPr>
        <w:spacing w:after="120" w:before="0" w:line="276"/>
        <w:jc w:val="both"/>
      </w:pPr>
      <w:r>
        <w:rPr>
          <w:rFonts w:ascii="Times New Roman" w:cs="Times New Roman" w:eastAsia="Times New Roman" w:hAnsi="Times New Roman"/>
          <w:b/>
          <w:bCs/>
          <w:sz w:val="24"/>
          <w:szCs w:val="24"/>
        </w:rPr>
        <w:t xml:space="preserve">Quarta limitação: estaticidade.</w:t>
      </w:r>
      <w:r>
        <w:rPr>
          <w:rFonts w:ascii="Times New Roman" w:cs="Times New Roman" w:eastAsia="Times New Roman" w:hAnsi="Times New Roman"/>
          <w:sz w:val="24"/>
          <w:szCs w:val="24"/>
        </w:rPr>
        <w:t xml:space="preserve"> Calculamos o CACI em vários anos (2022, 2024, 2026) e projetamo-lo em cada cenário.</w:t>
      </w:r>
    </w:p>
    <w:p>
      <w:pPr>
        <w:spacing w:after="120" w:before="0" w:line="276"/>
        <w:jc w:val="both"/>
      </w:pPr>
      <w:r>
        <w:rPr>
          <w:rFonts w:ascii="Times New Roman" w:cs="Times New Roman" w:eastAsia="Times New Roman" w:hAnsi="Times New Roman"/>
          <w:b/>
          <w:bCs/>
          <w:sz w:val="24"/>
          <w:szCs w:val="24"/>
        </w:rPr>
        <w:t xml:space="preserve">Quinta limitação: endogeneidade.</w:t>
      </w:r>
      <w:r>
        <w:rPr>
          <w:rFonts w:ascii="Times New Roman" w:cs="Times New Roman" w:eastAsia="Times New Roman" w:hAnsi="Times New Roman"/>
          <w:sz w:val="24"/>
          <w:szCs w:val="24"/>
        </w:rPr>
        <w:t xml:space="preserve"> O choque exógeno dos controlos BIS de outubro 2022 oferece um quasi-experimento natural para uma estratégia de identificação causal em Difference-in-Differences. Identificamos o tratamento formal desta endogeneidade (DiD, IV, ou GMM Arellano-Bond) como pista de investigação prioritária.²²</w:t>
      </w:r>
    </w:p>
    <w:p>
      <w:pPr>
        <w:spacing w:after="120" w:before="0" w:line="276"/>
        <w:jc w:val="both"/>
      </w:pPr>
      <w:r>
        <w:rPr>
          <w:rFonts w:ascii="Times New Roman" w:cs="Times New Roman" w:eastAsia="Times New Roman" w:hAnsi="Times New Roman"/>
          <w:b/>
          <w:bCs/>
          <w:sz w:val="24"/>
          <w:szCs w:val="24"/>
        </w:rPr>
        <w:t xml:space="preserve">Apesar destas limitações</w:t>
      </w:r>
      <w:r>
        <w:rPr>
          <w:rFonts w:ascii="Times New Roman" w:cs="Times New Roman" w:eastAsia="Times New Roman" w:hAnsi="Times New Roman"/>
          <w:sz w:val="24"/>
          <w:szCs w:val="24"/>
        </w:rPr>
        <w:t xml:space="preserve">, o CACI responde a uma necessidade identificada na literatura: não existe atualmente nenhum indicador formalizado de competitividade ajustada ao compute. A contribuição metodológica reside no framework mais do que na precisão dos números.</w:t>
      </w:r>
    </w:p>
    <w:p>
      <w:pPr>
        <w:pStyle w:val="Heading2"/>
        <w:spacing w:before="280" w:after="200"/>
      </w:pPr>
      <w:r>
        <w:rPr>
          <w:rFonts w:ascii="Times New Roman" w:cs="Times New Roman" w:eastAsia="Times New Roman" w:hAnsi="Times New Roman"/>
          <w:b/>
          <w:bCs/>
          <w:sz w:val="28"/>
          <w:szCs w:val="28"/>
        </w:rPr>
        <w:t xml:space="preserve">2.5 Âmbito e delimitações</w:t>
      </w:r>
    </w:p>
    <w:p>
      <w:pPr>
        <w:spacing w:after="120" w:before="0" w:line="276"/>
        <w:jc w:val="both"/>
      </w:pPr>
      <w:r>
        <w:rPr>
          <w:rFonts w:ascii="Times New Roman" w:cs="Times New Roman" w:eastAsia="Times New Roman" w:hAnsi="Times New Roman"/>
          <w:b/>
          <w:bCs/>
          <w:sz w:val="24"/>
          <w:szCs w:val="24"/>
        </w:rPr>
        <w:t xml:space="preserve">Âmbito geográfico. </w:t>
      </w:r>
      <w:r>
        <w:rPr>
          <w:rFonts w:ascii="Times New Roman" w:cs="Times New Roman" w:eastAsia="Times New Roman" w:hAnsi="Times New Roman"/>
          <w:sz w:val="24"/>
          <w:szCs w:val="24"/>
        </w:rPr>
        <w:t xml:space="preserve">A análise concentra-se na relação bilateral EUA / UE, com foco específico na França. A China é tratada como variável contextual.</w:t>
      </w:r>
    </w:p>
    <w:p>
      <w:pPr>
        <w:spacing w:after="120" w:before="0" w:line="276"/>
        <w:jc w:val="both"/>
      </w:pPr>
      <w:r>
        <w:rPr>
          <w:rFonts w:ascii="Times New Roman" w:cs="Times New Roman" w:eastAsia="Times New Roman" w:hAnsi="Times New Roman"/>
          <w:b/>
          <w:bCs/>
          <w:sz w:val="24"/>
          <w:szCs w:val="24"/>
        </w:rPr>
        <w:t xml:space="preserve">Âmbito temporal. </w:t>
      </w:r>
      <w:r>
        <w:rPr>
          <w:rFonts w:ascii="Times New Roman" w:cs="Times New Roman" w:eastAsia="Times New Roman" w:hAnsi="Times New Roman"/>
          <w:sz w:val="24"/>
          <w:szCs w:val="24"/>
        </w:rPr>
        <w:t xml:space="preserve">O diagnóstico cobre 2020–2026, os cenários cobrem 2026–2030.</w:t>
      </w:r>
    </w:p>
    <w:p>
      <w:pPr>
        <w:spacing w:after="120" w:before="0" w:line="276"/>
        <w:jc w:val="both"/>
      </w:pPr>
      <w:r>
        <w:rPr>
          <w:rFonts w:ascii="Times New Roman" w:cs="Times New Roman" w:eastAsia="Times New Roman" w:hAnsi="Times New Roman"/>
          <w:b/>
          <w:bCs/>
          <w:sz w:val="24"/>
          <w:szCs w:val="24"/>
        </w:rPr>
        <w:t xml:space="preserve">Âmbito tecnológico. </w:t>
      </w:r>
      <w:r>
        <w:rPr>
          <w:rFonts w:ascii="Times New Roman" w:cs="Times New Roman" w:eastAsia="Times New Roman" w:hAnsi="Times New Roman"/>
          <w:sz w:val="24"/>
          <w:szCs w:val="24"/>
        </w:rPr>
        <w:t xml:space="preserve">O estudo cobre a IA de fronteira e os seus pré-requisitos materiais (GPU/ASIC, data centers, energia). Integra a robótica IA como fator amplificador da procura energética.</w:t>
      </w:r>
    </w:p>
    <w:p>
      <w:pPr>
        <w:pStyle w:val="Heading2"/>
        <w:spacing w:before="280" w:after="200"/>
      </w:pPr>
      <w:r>
        <w:rPr>
          <w:rFonts w:ascii="Times New Roman" w:cs="Times New Roman" w:eastAsia="Times New Roman" w:hAnsi="Times New Roman"/>
          <w:b/>
          <w:bCs/>
          <w:sz w:val="28"/>
          <w:szCs w:val="28"/>
        </w:rPr>
        <w:t xml:space="preserve">2.6 Limitações metodológicas gerais</w:t>
      </w:r>
    </w:p>
    <w:p>
      <w:pPr>
        <w:spacing w:after="120" w:before="0" w:line="276"/>
        <w:jc w:val="both"/>
      </w:pPr>
      <w:r>
        <w:rPr>
          <w:rFonts w:ascii="Times New Roman" w:cs="Times New Roman" w:eastAsia="Times New Roman" w:hAnsi="Times New Roman"/>
          <w:b/>
          <w:bCs/>
          <w:sz w:val="24"/>
          <w:szCs w:val="24"/>
        </w:rPr>
        <w:t xml:space="preserve">Incerteza política radical. </w:t>
      </w:r>
      <w:r>
        <w:rPr>
          <w:rFonts w:ascii="Times New Roman" w:cs="Times New Roman" w:eastAsia="Times New Roman" w:hAnsi="Times New Roman"/>
          <w:sz w:val="24"/>
          <w:szCs w:val="24"/>
        </w:rPr>
        <w:t xml:space="preserve">O protecionismo tecnológico depende de decisões políticas discricionárias. Propomos quatro cenários em vez de uma trajetória única.</w:t>
      </w:r>
    </w:p>
    <w:p>
      <w:pPr>
        <w:spacing w:after="120" w:before="0" w:line="276"/>
        <w:jc w:val="both"/>
      </w:pPr>
      <w:r>
        <w:rPr>
          <w:rFonts w:ascii="Times New Roman" w:cs="Times New Roman" w:eastAsia="Times New Roman" w:hAnsi="Times New Roman"/>
          <w:b/>
          <w:bCs/>
          <w:sz w:val="24"/>
          <w:szCs w:val="24"/>
        </w:rPr>
        <w:t xml:space="preserve">Ruturas tecnológicas. </w:t>
      </w:r>
      <w:r>
        <w:rPr>
          <w:rFonts w:ascii="Times New Roman" w:cs="Times New Roman" w:eastAsia="Times New Roman" w:hAnsi="Times New Roman"/>
          <w:sz w:val="24"/>
          <w:szCs w:val="24"/>
        </w:rPr>
        <w:t xml:space="preserve">O episódio DeepSeek (janeiro 2025) ilustra a possibilidade de ruturas de eficiência. A IEA (2025) conclui que mesmo com melhorias significativas, o crescimento da procura absorve os ganhos (efeito ricochete de Jevons).²³</w:t>
      </w:r>
    </w:p>
    <w:p>
      <w:pPr>
        <w:spacing w:after="120" w:before="0" w:line="276"/>
        <w:jc w:val="both"/>
      </w:pPr>
      <w:r>
        <w:rPr>
          <w:rFonts w:ascii="Times New Roman" w:cs="Times New Roman" w:eastAsia="Times New Roman" w:hAnsi="Times New Roman"/>
          <w:b/>
          <w:bCs/>
          <w:sz w:val="24"/>
          <w:szCs w:val="24"/>
        </w:rPr>
        <w:t xml:space="preserve">Opacidade dos dados de compute. </w:t>
      </w:r>
      <w:r>
        <w:rPr>
          <w:rFonts w:ascii="Times New Roman" w:cs="Times New Roman" w:eastAsia="Times New Roman" w:hAnsi="Times New Roman"/>
          <w:sz w:val="24"/>
          <w:szCs w:val="24"/>
        </w:rPr>
        <w:t xml:space="preserve">As nossas estimativas comportam margens de erro significativas, sistematicamente documentadas.</w:t>
      </w:r>
    </w:p>
    <w:p>
      <w:pPr>
        <w:spacing w:after="120" w:before="0" w:line="276"/>
        <w:jc w:val="both"/>
      </w:pPr>
      <w:r>
        <w:rPr>
          <w:rFonts w:ascii="Times New Roman" w:cs="Times New Roman" w:eastAsia="Times New Roman" w:hAnsi="Times New Roman"/>
          <w:b/>
          <w:bCs/>
          <w:sz w:val="24"/>
          <w:szCs w:val="24"/>
        </w:rPr>
        <w:t xml:space="preserve">Viés das fontes de consultoria. </w:t>
      </w:r>
      <w:r>
        <w:rPr>
          <w:rFonts w:ascii="Times New Roman" w:cs="Times New Roman" w:eastAsia="Times New Roman" w:hAnsi="Times New Roman"/>
          <w:sz w:val="24"/>
          <w:szCs w:val="24"/>
        </w:rPr>
        <w:t xml:space="preserve">Atenuamos por triangulação mas não podemos eliminar inteiramente.</w:t>
      </w:r>
    </w:p>
    <w:p>
      <w:pPr>
        <w:spacing w:after="120" w:before="0" w:line="276"/>
        <w:jc w:val="both"/>
      </w:pPr>
      <w:r>
        <w:rPr>
          <w:rFonts w:ascii="Times New Roman" w:cs="Times New Roman" w:eastAsia="Times New Roman" w:hAnsi="Times New Roman"/>
          <w:sz w:val="24"/>
          <w:szCs w:val="24"/>
        </w:rPr>
        <w:t xml:space="preserve">Estas limitações não comprometem a validade da análise. O método de cenários é precisamente concebido para funcionar em ambientes de forte incerteza. Como sublinha Schwartz, «os cenários não são previsões; são histórias plausíveis que vos ajudam a refletir.»²⁴</w:t>
      </w:r>
    </w:p>
    <w:p>
      <w:pPr>
        <w:spacing w:after="200" w:before="0" w:line="276"/>
        <w:jc w:val="both"/>
      </w:pPr>
      <w:r>
        <w:rPr>
          <w:rFonts w:ascii="Times New Roman" w:cs="Times New Roman" w:eastAsia="Times New Roman" w:hAnsi="Times New Roman"/>
          <w:sz w:val="24"/>
          <w:szCs w:val="24"/>
        </w:rPr>
        <w:t xml:space="preserve"/>
      </w:r>
    </w:p>
    <w:p>
      <w:pPr>
        <w:spacing w:after="160" w:before="0" w:line="276"/>
        <w:jc w:val="both"/>
      </w:pPr>
      <w:r>
        <w:rPr>
          <w:rFonts w:ascii="Times New Roman" w:cs="Times New Roman" w:eastAsia="Times New Roman" w:hAnsi="Times New Roman"/>
          <w:b/>
          <w:bCs/>
          <w:sz w:val="26"/>
          <w:szCs w:val="26"/>
        </w:rPr>
        <w:t xml:space="preserve">Notas</w:t>
      </w:r>
    </w:p>
    <w:p>
      <w:pPr>
        <w:spacing w:after="80" w:before="0" w:line="240"/>
        <w:jc w:val="both"/>
      </w:pPr>
      <w:r>
        <w:rPr>
          <w:rFonts w:ascii="Times New Roman" w:cs="Times New Roman" w:eastAsia="Times New Roman" w:hAnsi="Times New Roman"/>
          <w:b/>
          <w:bCs/>
          <w:sz w:val="20"/>
          <w:szCs w:val="20"/>
          <w:vertAlign w:val="superscript"/>
        </w:rPr>
        <w:t xml:space="preserve">1 </w:t>
      </w:r>
      <w:r>
        <w:rPr>
          <w:rFonts w:ascii="Times New Roman" w:cs="Times New Roman" w:eastAsia="Times New Roman" w:hAnsi="Times New Roman"/>
          <w:sz w:val="20"/>
          <w:szCs w:val="20"/>
        </w:rPr>
        <w:t xml:space="preserve">Schwartz, P. (1991), The Art of the Long View, New York, Doubleday. Ver também Wack, P. (1985), «Scenarios: Uncharted Waters Ahead», HBR, pp. 72-89.</w:t>
      </w:r>
    </w:p>
    <w:p>
      <w:pPr>
        <w:spacing w:after="80" w:before="0" w:line="240"/>
        <w:jc w:val="both"/>
      </w:pPr>
      <w:r>
        <w:rPr>
          <w:rFonts w:ascii="Times New Roman" w:cs="Times New Roman" w:eastAsia="Times New Roman" w:hAnsi="Times New Roman"/>
          <w:b/>
          <w:bCs/>
          <w:sz w:val="20"/>
          <w:szCs w:val="20"/>
          <w:vertAlign w:val="superscript"/>
        </w:rPr>
        <w:t xml:space="preserve">2 </w:t>
      </w:r>
      <w:r>
        <w:rPr>
          <w:rFonts w:ascii="Times New Roman" w:cs="Times New Roman" w:eastAsia="Times New Roman" w:hAnsi="Times New Roman"/>
          <w:sz w:val="20"/>
          <w:szCs w:val="20"/>
        </w:rPr>
        <w:t xml:space="preserve">Bradfield, R. et al. (2005), «The Origins and Evolution of Scenario Techniques», Futures, 37(8), pp. 795-812.</w:t>
      </w:r>
    </w:p>
    <w:p>
      <w:pPr>
        <w:spacing w:after="80" w:before="0" w:line="240"/>
        <w:jc w:val="both"/>
      </w:pPr>
      <w:r>
        <w:rPr>
          <w:rFonts w:ascii="Times New Roman" w:cs="Times New Roman" w:eastAsia="Times New Roman" w:hAnsi="Times New Roman"/>
          <w:b/>
          <w:bCs/>
          <w:sz w:val="20"/>
          <w:szCs w:val="20"/>
          <w:vertAlign w:val="superscript"/>
        </w:rPr>
        <w:t xml:space="preserve">3 </w:t>
      </w:r>
      <w:r>
        <w:rPr>
          <w:rFonts w:ascii="Times New Roman" w:cs="Times New Roman" w:eastAsia="Times New Roman" w:hAnsi="Times New Roman"/>
          <w:sz w:val="20"/>
          <w:szCs w:val="20"/>
        </w:rPr>
        <w:t xml:space="preserve">Schoemaker, P.J.H. (1995), «Scenario Planning: A Tool for Strategic Thinking», MIT Sloan Management Review, 36(2), pp. 25-40.</w:t>
      </w:r>
    </w:p>
    <w:p>
      <w:pPr>
        <w:spacing w:after="80" w:before="0" w:line="240"/>
        <w:jc w:val="both"/>
      </w:pPr>
      <w:r>
        <w:rPr>
          <w:rFonts w:ascii="Times New Roman" w:cs="Times New Roman" w:eastAsia="Times New Roman" w:hAnsi="Times New Roman"/>
          <w:b/>
          <w:bCs/>
          <w:sz w:val="20"/>
          <w:szCs w:val="20"/>
          <w:vertAlign w:val="superscript"/>
        </w:rPr>
        <w:t xml:space="preserve">4 </w:t>
      </w:r>
      <w:r>
        <w:rPr>
          <w:rFonts w:ascii="Times New Roman" w:cs="Times New Roman" w:eastAsia="Times New Roman" w:hAnsi="Times New Roman"/>
          <w:sz w:val="20"/>
          <w:szCs w:val="20"/>
        </w:rPr>
        <w:t xml:space="preserve">Nardo, M. et al. (2008), Handbook on Constructing Composite Indicators, OECD Publishing, Paris.</w:t>
      </w:r>
    </w:p>
    <w:p>
      <w:pPr>
        <w:spacing w:after="80" w:before="0" w:line="240"/>
        <w:jc w:val="both"/>
      </w:pPr>
      <w:r>
        <w:rPr>
          <w:rFonts w:ascii="Times New Roman" w:cs="Times New Roman" w:eastAsia="Times New Roman" w:hAnsi="Times New Roman"/>
          <w:b/>
          <w:bCs/>
          <w:sz w:val="20"/>
          <w:szCs w:val="20"/>
          <w:vertAlign w:val="superscript"/>
        </w:rPr>
        <w:t xml:space="preserve">5 </w:t>
      </w:r>
      <w:r>
        <w:rPr>
          <w:rFonts w:ascii="Times New Roman" w:cs="Times New Roman" w:eastAsia="Times New Roman" w:hAnsi="Times New Roman"/>
          <w:sz w:val="20"/>
          <w:szCs w:val="20"/>
        </w:rPr>
        <w:t xml:space="preserve">O desvio SIA/McKinsey explica-se pelo perímetro: McKinsey inclui captive designers e fabless não contabilizados nas estatísticas WSTS.</w:t>
      </w:r>
    </w:p>
    <w:p>
      <w:pPr>
        <w:spacing w:after="80" w:before="0" w:line="240"/>
        <w:jc w:val="both"/>
      </w:pPr>
      <w:r>
        <w:rPr>
          <w:rFonts w:ascii="Times New Roman" w:cs="Times New Roman" w:eastAsia="Times New Roman" w:hAnsi="Times New Roman"/>
          <w:b/>
          <w:bCs/>
          <w:sz w:val="20"/>
          <w:szCs w:val="20"/>
          <w:vertAlign w:val="superscript"/>
        </w:rPr>
        <w:t xml:space="preserve">6 </w:t>
      </w:r>
      <w:r>
        <w:rPr>
          <w:rFonts w:ascii="Times New Roman" w:cs="Times New Roman" w:eastAsia="Times New Roman" w:hAnsi="Times New Roman"/>
          <w:sz w:val="20"/>
          <w:szCs w:val="20"/>
        </w:rPr>
        <w:t xml:space="preserve">Pilz, K.F. et al. (2025), «Trends in AI Supercomputers», arXiv:2504.16026. Dataset acessível em https://epoch.ai/data/gpu-clusters.</w:t>
      </w:r>
    </w:p>
    <w:p>
      <w:pPr>
        <w:spacing w:after="80" w:before="0" w:line="240"/>
        <w:jc w:val="both"/>
      </w:pPr>
      <w:r>
        <w:rPr>
          <w:rFonts w:ascii="Times New Roman" w:cs="Times New Roman" w:eastAsia="Times New Roman" w:hAnsi="Times New Roman"/>
          <w:b/>
          <w:bCs/>
          <w:sz w:val="20"/>
          <w:szCs w:val="20"/>
          <w:vertAlign w:val="superscript"/>
        </w:rPr>
        <w:t xml:space="preserve">7 </w:t>
      </w:r>
      <w:r>
        <w:rPr>
          <w:rFonts w:ascii="Times New Roman" w:cs="Times New Roman" w:eastAsia="Times New Roman" w:hAnsi="Times New Roman"/>
          <w:sz w:val="20"/>
          <w:szCs w:val="20"/>
        </w:rPr>
        <w:t xml:space="preserve">Epoch AI (2025), GPU Clusters Documentation. Cobertura estimada: ~20–37% dos H100, ~12% dos A100, &lt;4% dos TPU Google.</w:t>
      </w:r>
    </w:p>
    <w:p>
      <w:pPr>
        <w:spacing w:after="80" w:before="0" w:line="240"/>
        <w:jc w:val="both"/>
      </w:pPr>
      <w:r>
        <w:rPr>
          <w:rFonts w:ascii="Times New Roman" w:cs="Times New Roman" w:eastAsia="Times New Roman" w:hAnsi="Times New Roman"/>
          <w:b/>
          <w:bCs/>
          <w:sz w:val="20"/>
          <w:szCs w:val="20"/>
          <w:vertAlign w:val="superscript"/>
        </w:rPr>
        <w:t xml:space="preserve">8 </w:t>
      </w:r>
      <w:r>
        <w:rPr>
          <w:rFonts w:ascii="Times New Roman" w:cs="Times New Roman" w:eastAsia="Times New Roman" w:hAnsi="Times New Roman"/>
          <w:sz w:val="20"/>
          <w:szCs w:val="20"/>
        </w:rPr>
        <w:t xml:space="preserve">Lehdonvirta, V. et al. (2025), «Measuring Domestic Public Cloud Compute Availability for AI», OECD AI Papers, No. 49.</w:t>
      </w:r>
    </w:p>
    <w:p>
      <w:pPr>
        <w:spacing w:after="80" w:before="0" w:line="240"/>
        <w:jc w:val="both"/>
      </w:pPr>
      <w:r>
        <w:rPr>
          <w:rFonts w:ascii="Times New Roman" w:cs="Times New Roman" w:eastAsia="Times New Roman" w:hAnsi="Times New Roman"/>
          <w:b/>
          <w:bCs/>
          <w:sz w:val="20"/>
          <w:szCs w:val="20"/>
          <w:vertAlign w:val="superscript"/>
        </w:rPr>
        <w:t xml:space="preserve">9 </w:t>
      </w:r>
      <w:r>
        <w:rPr>
          <w:rFonts w:ascii="Times New Roman" w:cs="Times New Roman" w:eastAsia="Times New Roman" w:hAnsi="Times New Roman"/>
          <w:sz w:val="20"/>
          <w:szCs w:val="20"/>
        </w:rPr>
        <w:t xml:space="preserve">Van der Heijden, K. (2004), Scenarios: The Art of Strategic Conversation, 2nd ed., Wiley.</w:t>
      </w:r>
    </w:p>
    <w:p>
      <w:pPr>
        <w:spacing w:after="80" w:before="0" w:line="240"/>
        <w:jc w:val="both"/>
      </w:pPr>
      <w:r>
        <w:rPr>
          <w:rFonts w:ascii="Times New Roman" w:cs="Times New Roman" w:eastAsia="Times New Roman" w:hAnsi="Times New Roman"/>
          <w:b/>
          <w:bCs/>
          <w:sz w:val="20"/>
          <w:szCs w:val="20"/>
          <w:vertAlign w:val="superscript"/>
        </w:rPr>
        <w:t xml:space="preserve">10 </w:t>
      </w:r>
      <w:r>
        <w:rPr>
          <w:rFonts w:ascii="Times New Roman" w:cs="Times New Roman" w:eastAsia="Times New Roman" w:hAnsi="Times New Roman"/>
          <w:sz w:val="20"/>
          <w:szCs w:val="20"/>
        </w:rPr>
        <w:t xml:space="preserve">Schwartz (1991), op. cit., pp. 241-243.</w:t>
      </w:r>
    </w:p>
    <w:p>
      <w:pPr>
        <w:spacing w:after="80" w:before="0" w:line="240"/>
        <w:jc w:val="both"/>
      </w:pPr>
      <w:r>
        <w:rPr>
          <w:rFonts w:ascii="Times New Roman" w:cs="Times New Roman" w:eastAsia="Times New Roman" w:hAnsi="Times New Roman"/>
          <w:b/>
          <w:bCs/>
          <w:sz w:val="20"/>
          <w:szCs w:val="20"/>
          <w:vertAlign w:val="superscript"/>
        </w:rPr>
        <w:t xml:space="preserve">11 </w:t>
      </w:r>
      <w:r>
        <w:rPr>
          <w:rFonts w:ascii="Times New Roman" w:cs="Times New Roman" w:eastAsia="Times New Roman" w:hAnsi="Times New Roman"/>
          <w:sz w:val="20"/>
          <w:szCs w:val="20"/>
        </w:rPr>
        <w:t xml:space="preserve">Hawkins, Z.J. et al. (2025), «AI Compute Sovereignty», SSRN. Sevilla, J. et al. (2022), «Compute Trends Across Three Eras», arXiv:2202.05924.</w:t>
      </w:r>
    </w:p>
    <w:p>
      <w:pPr>
        <w:spacing w:after="80" w:before="0" w:line="240"/>
        <w:jc w:val="both"/>
      </w:pPr>
      <w:r>
        <w:rPr>
          <w:rFonts w:ascii="Times New Roman" w:cs="Times New Roman" w:eastAsia="Times New Roman" w:hAnsi="Times New Roman"/>
          <w:b/>
          <w:bCs/>
          <w:sz w:val="20"/>
          <w:szCs w:val="20"/>
          <w:vertAlign w:val="superscript"/>
        </w:rPr>
        <w:t xml:space="preserve">12 </w:t>
      </w:r>
      <w:r>
        <w:rPr>
          <w:rFonts w:ascii="Times New Roman" w:cs="Times New Roman" w:eastAsia="Times New Roman" w:hAnsi="Times New Roman"/>
          <w:sz w:val="20"/>
          <w:szCs w:val="20"/>
        </w:rPr>
        <w:t xml:space="preserve">Cazzaniga, M. et al. (2024), «Gen-AI: AI and the Future of Work», IMF SDN 2024/001.</w:t>
      </w:r>
    </w:p>
    <w:p>
      <w:pPr>
        <w:spacing w:after="80" w:before="0" w:line="240"/>
        <w:jc w:val="both"/>
      </w:pPr>
      <w:r>
        <w:rPr>
          <w:rFonts w:ascii="Times New Roman" w:cs="Times New Roman" w:eastAsia="Times New Roman" w:hAnsi="Times New Roman"/>
          <w:b/>
          <w:bCs/>
          <w:sz w:val="20"/>
          <w:szCs w:val="20"/>
          <w:vertAlign w:val="superscript"/>
        </w:rPr>
        <w:t xml:space="preserve">13 </w:t>
      </w:r>
      <w:r>
        <w:rPr>
          <w:rFonts w:ascii="Times New Roman" w:cs="Times New Roman" w:eastAsia="Times New Roman" w:hAnsi="Times New Roman"/>
          <w:sz w:val="20"/>
          <w:szCs w:val="20"/>
        </w:rPr>
        <w:t xml:space="preserve">Tortoise Media (2024), Global AI Index 2024. Ver Koronakos et al. (2024), Expert Systems with Applications.</w:t>
      </w:r>
    </w:p>
    <w:p>
      <w:pPr>
        <w:spacing w:after="80" w:before="0" w:line="240"/>
        <w:jc w:val="both"/>
      </w:pPr>
      <w:r>
        <w:rPr>
          <w:rFonts w:ascii="Times New Roman" w:cs="Times New Roman" w:eastAsia="Times New Roman" w:hAnsi="Times New Roman"/>
          <w:b/>
          <w:bCs/>
          <w:sz w:val="20"/>
          <w:szCs w:val="20"/>
          <w:vertAlign w:val="superscript"/>
        </w:rPr>
        <w:t xml:space="preserve">14 </w:t>
      </w:r>
      <w:r>
        <w:rPr>
          <w:rFonts w:ascii="Times New Roman" w:cs="Times New Roman" w:eastAsia="Times New Roman" w:hAnsi="Times New Roman"/>
          <w:sz w:val="20"/>
          <w:szCs w:val="20"/>
        </w:rPr>
        <w:t xml:space="preserve">Cohen, W.M. &amp; Levinthal, D.A. (1990), «Absorptive Capacity», ASQ, 35(1), pp. 128-152.</w:t>
      </w:r>
    </w:p>
    <w:p>
      <w:pPr>
        <w:spacing w:after="80" w:before="0" w:line="240"/>
        <w:jc w:val="both"/>
      </w:pPr>
      <w:r>
        <w:rPr>
          <w:rFonts w:ascii="Times New Roman" w:cs="Times New Roman" w:eastAsia="Times New Roman" w:hAnsi="Times New Roman"/>
          <w:b/>
          <w:bCs/>
          <w:sz w:val="20"/>
          <w:szCs w:val="20"/>
          <w:vertAlign w:val="superscript"/>
        </w:rPr>
        <w:t xml:space="preserve">15 </w:t>
      </w:r>
      <w:r>
        <w:rPr>
          <w:rFonts w:ascii="Times New Roman" w:cs="Times New Roman" w:eastAsia="Times New Roman" w:hAnsi="Times New Roman"/>
          <w:sz w:val="20"/>
          <w:szCs w:val="20"/>
        </w:rPr>
        <w:t xml:space="preserve">Agregação geométrica também utilizada pelo IDH do PNUD desde 2010. Ver OECD/JRC Handbook (2008), pp. 31-33.</w:t>
      </w:r>
    </w:p>
    <w:p>
      <w:pPr>
        <w:spacing w:after="80" w:before="0" w:line="240"/>
        <w:jc w:val="both"/>
      </w:pPr>
      <w:r>
        <w:rPr>
          <w:rFonts w:ascii="Times New Roman" w:cs="Times New Roman" w:eastAsia="Times New Roman" w:hAnsi="Times New Roman"/>
          <w:b/>
          <w:bCs/>
          <w:sz w:val="20"/>
          <w:szCs w:val="20"/>
          <w:vertAlign w:val="superscript"/>
        </w:rPr>
        <w:t xml:space="preserve">16 </w:t>
      </w:r>
      <w:r>
        <w:rPr>
          <w:rFonts w:ascii="Times New Roman" w:cs="Times New Roman" w:eastAsia="Times New Roman" w:hAnsi="Times New Roman"/>
          <w:sz w:val="20"/>
          <w:szCs w:val="20"/>
        </w:rPr>
        <w:t xml:space="preserve">Epoch AI (2025), «The US Hosts the Majority of GPU Cluster Performance», junho 2025.</w:t>
      </w:r>
    </w:p>
    <w:p>
      <w:pPr>
        <w:spacing w:after="80" w:before="0" w:line="240"/>
        <w:jc w:val="both"/>
      </w:pPr>
      <w:r>
        <w:rPr>
          <w:rFonts w:ascii="Times New Roman" w:cs="Times New Roman" w:eastAsia="Times New Roman" w:hAnsi="Times New Roman"/>
          <w:b/>
          <w:bCs/>
          <w:sz w:val="20"/>
          <w:szCs w:val="20"/>
          <w:vertAlign w:val="superscript"/>
        </w:rPr>
        <w:t xml:space="preserve">17 </w:t>
      </w:r>
      <w:r>
        <w:rPr>
          <w:rFonts w:ascii="Times New Roman" w:cs="Times New Roman" w:eastAsia="Times New Roman" w:hAnsi="Times New Roman"/>
          <w:sz w:val="20"/>
          <w:szCs w:val="20"/>
        </w:rPr>
        <w:t xml:space="preserve">Código Python e dados reprodutíveis. CSV em https://epoch.ai/data/gpu_clusters.csv.</w:t>
      </w:r>
    </w:p>
    <w:p>
      <w:pPr>
        <w:spacing w:after="80" w:before="0" w:line="240"/>
        <w:jc w:val="both"/>
      </w:pPr>
      <w:r>
        <w:rPr>
          <w:rFonts w:ascii="Times New Roman" w:cs="Times New Roman" w:eastAsia="Times New Roman" w:hAnsi="Times New Roman"/>
          <w:b/>
          <w:bCs/>
          <w:sz w:val="20"/>
          <w:szCs w:val="20"/>
          <w:vertAlign w:val="superscript"/>
        </w:rPr>
        <w:t xml:space="preserve">18 </w:t>
      </w:r>
      <w:r>
        <w:rPr>
          <w:rFonts w:ascii="Times New Roman" w:cs="Times New Roman" w:eastAsia="Times New Roman" w:hAnsi="Times New Roman"/>
          <w:sz w:val="20"/>
          <w:szCs w:val="20"/>
        </w:rPr>
        <w:t xml:space="preserve">Federal Reserve Board (outubro 2025). IEA (2025), Energy and AI.</w:t>
      </w:r>
    </w:p>
    <w:p>
      <w:pPr>
        <w:spacing w:after="80" w:before="0" w:line="240"/>
        <w:jc w:val="both"/>
      </w:pPr>
      <w:r>
        <w:rPr>
          <w:rFonts w:ascii="Times New Roman" w:cs="Times New Roman" w:eastAsia="Times New Roman" w:hAnsi="Times New Roman"/>
          <w:b/>
          <w:bCs/>
          <w:sz w:val="20"/>
          <w:szCs w:val="20"/>
          <w:vertAlign w:val="superscript"/>
        </w:rPr>
        <w:t xml:space="preserve">19 </w:t>
      </w:r>
      <w:r>
        <w:rPr>
          <w:rFonts w:ascii="Times New Roman" w:cs="Times New Roman" w:eastAsia="Times New Roman" w:hAnsi="Times New Roman"/>
          <w:sz w:val="20"/>
          <w:szCs w:val="20"/>
        </w:rPr>
        <w:t xml:space="preserve">Viés LinkedIn documentado: subestimação mecânica em países onde LinkedIn é pouco utilizado.</w:t>
      </w:r>
    </w:p>
    <w:p>
      <w:pPr>
        <w:spacing w:after="80" w:before="0" w:line="240"/>
        <w:jc w:val="both"/>
      </w:pPr>
      <w:r>
        <w:rPr>
          <w:rFonts w:ascii="Times New Roman" w:cs="Times New Roman" w:eastAsia="Times New Roman" w:hAnsi="Times New Roman"/>
          <w:b/>
          <w:bCs/>
          <w:sz w:val="20"/>
          <w:szCs w:val="20"/>
          <w:vertAlign w:val="superscript"/>
        </w:rPr>
        <w:t xml:space="preserve">20 </w:t>
      </w:r>
      <w:r>
        <w:rPr>
          <w:rFonts w:ascii="Times New Roman" w:cs="Times New Roman" w:eastAsia="Times New Roman" w:hAnsi="Times New Roman"/>
          <w:sz w:val="20"/>
          <w:szCs w:val="20"/>
        </w:rPr>
        <w:t xml:space="preserve">FMI (2024), AI Preparedness Index Dashboard.</w:t>
      </w:r>
    </w:p>
    <w:p>
      <w:pPr>
        <w:spacing w:after="80" w:before="0" w:line="240"/>
        <w:jc w:val="both"/>
      </w:pPr>
      <w:r>
        <w:rPr>
          <w:rFonts w:ascii="Times New Roman" w:cs="Times New Roman" w:eastAsia="Times New Roman" w:hAnsi="Times New Roman"/>
          <w:b/>
          <w:bCs/>
          <w:sz w:val="20"/>
          <w:szCs w:val="20"/>
          <w:vertAlign w:val="superscript"/>
        </w:rPr>
        <w:t xml:space="preserve">21 </w:t>
      </w:r>
      <w:r>
        <w:rPr>
          <w:rFonts w:ascii="Times New Roman" w:cs="Times New Roman" w:eastAsia="Times New Roman" w:hAnsi="Times New Roman"/>
          <w:sz w:val="20"/>
          <w:szCs w:val="20"/>
        </w:rPr>
        <w:t xml:space="preserve">Maslej, N. et al. (2025), Stanford AI Index Report 2025. Dados públicos via Google Drive.</w:t>
      </w:r>
    </w:p>
    <w:p>
      <w:pPr>
        <w:spacing w:after="80" w:before="0" w:line="240"/>
        <w:jc w:val="both"/>
      </w:pPr>
      <w:r>
        <w:rPr>
          <w:rFonts w:ascii="Times New Roman" w:cs="Times New Roman" w:eastAsia="Times New Roman" w:hAnsi="Times New Roman"/>
          <w:b/>
          <w:bCs/>
          <w:sz w:val="20"/>
          <w:szCs w:val="20"/>
          <w:vertAlign w:val="superscript"/>
        </w:rPr>
        <w:t xml:space="preserve">22 </w:t>
      </w:r>
      <w:r>
        <w:rPr>
          <w:rFonts w:ascii="Times New Roman" w:cs="Times New Roman" w:eastAsia="Times New Roman" w:hAnsi="Times New Roman"/>
          <w:sz w:val="20"/>
          <w:szCs w:val="20"/>
        </w:rPr>
        <w:t xml:space="preserve">Arellano, M. &amp; Bond, S. (1991), «Some Tests of Specification for Panel Data», RES, 58(2), pp. 277-297.</w:t>
      </w:r>
    </w:p>
    <w:p>
      <w:pPr>
        <w:spacing w:after="80" w:before="0" w:line="240"/>
        <w:jc w:val="both"/>
      </w:pPr>
      <w:r>
        <w:rPr>
          <w:rFonts w:ascii="Times New Roman" w:cs="Times New Roman" w:eastAsia="Times New Roman" w:hAnsi="Times New Roman"/>
          <w:b/>
          <w:bCs/>
          <w:sz w:val="20"/>
          <w:szCs w:val="20"/>
          <w:vertAlign w:val="superscript"/>
        </w:rPr>
        <w:t xml:space="preserve">23 </w:t>
      </w:r>
      <w:r>
        <w:rPr>
          <w:rFonts w:ascii="Times New Roman" w:cs="Times New Roman" w:eastAsia="Times New Roman" w:hAnsi="Times New Roman"/>
          <w:sz w:val="20"/>
          <w:szCs w:val="20"/>
        </w:rPr>
        <w:t xml:space="preserve">IEA (2025), Energy and AI, estudo de caso DeepSeek e efeito ricochete de Jevons.</w:t>
      </w:r>
    </w:p>
    <w:p>
      <w:pPr>
        <w:spacing w:after="80" w:before="0" w:line="240"/>
        <w:jc w:val="both"/>
      </w:pPr>
      <w:r>
        <w:rPr>
          <w:rFonts w:ascii="Times New Roman" w:cs="Times New Roman" w:eastAsia="Times New Roman" w:hAnsi="Times New Roman"/>
          <w:b/>
          <w:bCs/>
          <w:sz w:val="20"/>
          <w:szCs w:val="20"/>
          <w:vertAlign w:val="superscript"/>
        </w:rPr>
        <w:t xml:space="preserve">24 </w:t>
      </w:r>
      <w:r>
        <w:rPr>
          <w:rFonts w:ascii="Times New Roman" w:cs="Times New Roman" w:eastAsia="Times New Roman" w:hAnsi="Times New Roman"/>
          <w:sz w:val="20"/>
          <w:szCs w:val="20"/>
        </w:rPr>
        <w:t xml:space="preserve">Schwartz (1991), op. cit., p. 38.</w:t>
      </w:r>
    </w:p>
    <w:p>
      <w:pPr>
        <w:spacing w:after="200" w:before="0" w:line="276"/>
        <w:jc w:val="both"/>
      </w:pPr>
      <w:r>
        <w:rPr>
          <w:rFonts w:ascii="Times New Roman" w:cs="Times New Roman" w:eastAsia="Times New Roman" w:hAnsi="Times New Roman"/>
          <w:sz w:val="24"/>
          <w:szCs w:val="24"/>
        </w:rPr>
        <w:t xml:space="preserve"/>
      </w:r>
    </w:p>
    <w:p>
      <w:pPr>
        <w:spacing w:after="0" w:before="0" w:line="276"/>
        <w:jc w:val="both"/>
      </w:pPr>
      <w:r>
        <w:rPr>
          <w:rFonts w:ascii="Times New Roman" w:cs="Times New Roman" w:eastAsia="Times New Roman" w:hAnsi="Times New Roman"/>
          <w:b/>
          <w:bCs/>
          <w:sz w:val="20"/>
          <w:szCs w:val="20"/>
        </w:rPr>
        <w:t xml:space="preserve">Licença e Aviso. </w:t>
      </w:r>
      <w:r>
        <w:rPr>
          <w:rFonts w:ascii="Times New Roman" w:cs="Times New Roman" w:eastAsia="Times New Roman" w:hAnsi="Times New Roman"/>
          <w:sz w:val="20"/>
          <w:szCs w:val="20"/>
        </w:rPr>
        <w:t xml:space="preserve">Este trabalho, "America-First-IA", é disponibilizado sob os termos da Licença Creative Commons Atribuição-NaoComercial-CompartilhaIgual 4.0 Internacional (CC BY-NC-SA 4.0). Documento fornecido para fins educativos e de investigação.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80" w:after="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240" w:after="16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2026-02-25T08:07:18.567Z</dcterms:created>
  <dcterms:modified xsi:type="dcterms:W3CDTF">2026-02-25T08:07:18.568Z</dcterms:modified>
</cp:coreProperties>
</file>

<file path=docProps/custom.xml><?xml version="1.0" encoding="utf-8"?>
<Properties xmlns="http://schemas.openxmlformats.org/officeDocument/2006/custom-properties" xmlns:vt="http://schemas.openxmlformats.org/officeDocument/2006/docPropsVTypes"/>
</file>