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a1a1a"/>
          <w:sz w:val="36"/>
          <w:szCs w:val="36"/>
        </w:rPr>
        <w:t xml:space="preserve">PITCH DOCTORAT</w:t>
      </w:r>
    </w:p>
    <w:p>
      <w:pPr>
        <w:spacing w:after="40"/>
        <w:jc w:val="center"/>
      </w:pPr>
      <w:r>
        <w:rPr>
          <w:rFonts w:ascii="Times New Roman" w:cs="Times New Roman" w:eastAsia="Times New Roman" w:hAnsi="Times New Roman"/>
          <w:i/>
          <w:iCs/>
          <w:color w:val="333333"/>
          <w:sz w:val="24"/>
          <w:szCs w:val="24"/>
        </w:rPr>
        <w:t xml:space="preserve">Préparation café ENS avec David Naccache</w:t>
      </w:r>
    </w:p>
    <w:p>
      <w:pPr>
        <w:spacing w:after="300"/>
        <w:jc w:val="center"/>
      </w:pPr>
      <w:r>
        <w:rPr>
          <w:rFonts w:ascii="Times New Roman" w:cs="Times New Roman" w:eastAsia="Times New Roman" w:hAnsi="Times New Roman"/>
          <w:color w:val="666666"/>
          <w:sz w:val="20"/>
          <w:szCs w:val="20"/>
        </w:rPr>
        <w:t xml:space="preserve">Structure : 12–15 minutes, 5 blocs</w:t>
      </w:r>
    </w:p>
    <w:p>
      <w:pPr>
        <w:pBdr>
          <w:bottom w:val="single" w:color="999999" w:sz="4" w:space="1"/>
        </w:pBdr>
        <w:spacing w:before="200" w:after="200"/>
      </w:pPr>
    </w:p>
    <w:p>
      <w:pPr>
        <w:pStyle w:val="Heading1"/>
        <w:spacing w:before="360" w:after="160"/>
      </w:pPr>
      <w:r>
        <w:rPr>
          <w:rFonts w:ascii="Times New Roman" w:cs="Times New Roman" w:eastAsia="Times New Roman" w:hAnsi="Times New Roman"/>
          <w:b/>
          <w:bCs/>
          <w:color w:val="1a1a1a"/>
          <w:sz w:val="26"/>
          <w:szCs w:val="26"/>
        </w:rPr>
        <w:t xml:space="preserve">BLOC 1 — LE PROBLÈME (3 minutes)</w:t>
      </w:r>
    </w:p>
    <w:p>
      <w:pPr>
        <w:spacing w:after="140" w:line="290"/>
        <w:jc w:val="both"/>
      </w:pPr>
      <w:r>
        <w:rPr>
          <w:rFonts w:ascii="Times New Roman" w:cs="Times New Roman" w:eastAsia="Times New Roman" w:hAnsi="Times New Roman"/>
          <w:b/>
          <w:bCs/>
          <w:sz w:val="22"/>
          <w:szCs w:val="22"/>
        </w:rPr>
        <w:t xml:space="preserve">Phrase d’ouverture (à dire tel quel) :</w:t>
      </w:r>
    </w:p>
    <w:p>
      <w:pPr>
        <w:spacing w:before="100" w:after="100" w:line="280"/>
        <w:ind w:left="567" w:right="567"/>
        <w:jc w:val="both"/>
      </w:pPr>
      <w:r>
        <w:rPr>
          <w:rFonts w:ascii="Times New Roman" w:cs="Times New Roman" w:eastAsia="Times New Roman" w:hAnsi="Times New Roman"/>
          <w:i/>
          <w:iCs/>
          <w:color w:val="333333"/>
          <w:sz w:val="21"/>
          <w:szCs w:val="21"/>
        </w:rPr>
        <w:t xml:space="preserve">« David, l’injection de prompt est un problème de canal. Le modèle de langage ne distingue pas structurellement une instruction d’une donnée parce que les deux transitent par le même espace de représentation. Et le circuit neuronal qui rend ça possible est là avant tout alignement. Personne n’a formalisé les bornes de ce problème. »</w:t>
      </w:r>
    </w:p>
    <w:p>
      <w:pPr>
        <w:spacing w:after="140" w:line="290"/>
        <w:jc w:val="both"/>
      </w:pPr>
      <w:r>
        <w:rPr>
          <w:rFonts w:ascii="Times New Roman" w:cs="Times New Roman" w:eastAsia="Times New Roman" w:hAnsi="Times New Roman"/>
          <w:b/>
          <w:bCs/>
          <w:sz w:val="22"/>
          <w:szCs w:val="22"/>
        </w:rPr>
        <w:t xml:space="preserve">Développer :</w:t>
      </w:r>
    </w:p>
    <w:p>
      <w:pPr>
        <w:spacing w:after="140" w:line="290"/>
        <w:jc w:val="both"/>
      </w:pPr>
      <w:r>
        <w:rPr>
          <w:rFonts w:ascii="Times New Roman" w:cs="Times New Roman" w:eastAsia="Times New Roman" w:hAnsi="Times New Roman"/>
          <w:sz w:val="22"/>
          <w:szCs w:val="22"/>
        </w:rPr>
        <w:t xml:space="preserve">Les agents IA autonomes (Claude Code, GPT avec plugins, Copilot, OpenClaw) ne sont plus des chatbots. Ce sont des systèmes qui lisent des mails, exécutent du code, accèdent à des fichiers, interagissent avec des API, et prennent des décisions sans supervision humaine. Gartner prévoit que 33% des applications d’entreprise intégreront des agents IA d’ici 2028. Microsoft dit que plus de 60% des grandes entreprises en ont déjà en production.</w:t>
      </w:r>
    </w:p>
    <w:p>
      <w:pPr>
        <w:spacing w:after="140" w:line="290"/>
        <w:jc w:val="both"/>
      </w:pPr>
      <w:r>
        <w:rPr>
          <w:rFonts w:ascii="Times New Roman" w:cs="Times New Roman" w:eastAsia="Times New Roman" w:hAnsi="Times New Roman"/>
          <w:sz w:val="22"/>
          <w:szCs w:val="22"/>
        </w:rPr>
        <w:t xml:space="preserve">Le problème : ces systèmes créent une surface d’attaque qui n’est PAS une extension des surfaces classiques. C’est une catégorie nouvelle. Quatre propriétés la rendent unique :</w:t>
      </w:r>
    </w:p>
    <w:p>
      <w:pPr>
        <w:spacing w:after="140" w:line="290"/>
        <w:jc w:val="both"/>
      </w:pPr>
      <w:r>
        <w:rPr>
          <w:rFonts w:ascii="Times New Roman" w:cs="Times New Roman" w:eastAsia="Times New Roman" w:hAnsi="Times New Roman"/>
          <w:b/>
          <w:bCs/>
          <w:sz w:val="22"/>
          <w:szCs w:val="22"/>
        </w:rPr>
        <w:t xml:space="preserve">1. Le canal d’instruction est le canal de données. </w:t>
      </w:r>
      <w:r>
        <w:rPr>
          <w:rFonts w:ascii="Times New Roman" w:cs="Times New Roman" w:eastAsia="Times New Roman" w:hAnsi="Times New Roman"/>
          <w:sz w:val="22"/>
          <w:szCs w:val="22"/>
        </w:rPr>
        <w:t xml:space="preserve">Dans un système classique, le plan de contrôle et le plan de données sont séparés. Dans un agent LLM, les instructions et les données transitent par le même canal textuel. Une donnée malveillante peut devenir une instruction. C’est structurel, pas un bug.</w:t>
      </w:r>
    </w:p>
    <w:p>
      <w:pPr>
        <w:spacing w:after="140" w:line="290"/>
        <w:jc w:val="both"/>
      </w:pPr>
      <w:r>
        <w:rPr>
          <w:rFonts w:ascii="Times New Roman" w:cs="Times New Roman" w:eastAsia="Times New Roman" w:hAnsi="Times New Roman"/>
          <w:b/>
          <w:bCs/>
          <w:sz w:val="22"/>
          <w:szCs w:val="22"/>
        </w:rPr>
        <w:t xml:space="preserve">2. L’agent a une identité implicite. </w:t>
      </w:r>
      <w:r>
        <w:rPr>
          <w:rFonts w:ascii="Times New Roman" w:cs="Times New Roman" w:eastAsia="Times New Roman" w:hAnsi="Times New Roman"/>
          <w:sz w:val="22"/>
          <w:szCs w:val="22"/>
        </w:rPr>
        <w:t xml:space="preserve">Il agit avec les privilèges d’un utilisateur ou d’un service, mais sans les mécanismes d’authentification, de journalisation et de révocation conçus pour les identités humaines ou machine classiques.</w:t>
      </w:r>
    </w:p>
    <w:p>
      <w:pPr>
        <w:spacing w:after="140" w:line="290"/>
        <w:jc w:val="both"/>
      </w:pPr>
      <w:r>
        <w:rPr>
          <w:rFonts w:ascii="Times New Roman" w:cs="Times New Roman" w:eastAsia="Times New Roman" w:hAnsi="Times New Roman"/>
          <w:b/>
          <w:bCs/>
          <w:sz w:val="22"/>
          <w:szCs w:val="22"/>
        </w:rPr>
        <w:t xml:space="preserve">3. La chaîne d’attaque est sémantique, pas technique. </w:t>
      </w:r>
      <w:r>
        <w:rPr>
          <w:rFonts w:ascii="Times New Roman" w:cs="Times New Roman" w:eastAsia="Times New Roman" w:hAnsi="Times New Roman"/>
          <w:sz w:val="22"/>
          <w:szCs w:val="22"/>
        </w:rPr>
        <w:t xml:space="preserve">L’injection de prompt ne nécessite pas d’exploit binaire, pas de dépassement de tampon, pas de vulnérabilité CVE. C’est une manipulation du sens. Les outils de détection classiques (IDS, SIEM, WAF) ne voient rien passer.</w:t>
      </w:r>
    </w:p>
    <w:p>
      <w:pPr>
        <w:spacing w:after="140" w:line="290"/>
        <w:jc w:val="both"/>
      </w:pPr>
      <w:r>
        <w:rPr>
          <w:rFonts w:ascii="Times New Roman" w:cs="Times New Roman" w:eastAsia="Times New Roman" w:hAnsi="Times New Roman"/>
          <w:b/>
          <w:bCs/>
          <w:sz w:val="22"/>
          <w:szCs w:val="22"/>
        </w:rPr>
        <w:t xml:space="preserve">4. La vulnérabilité est architecturale, pas comportementale — le « Circuit de l’Obéissance ». </w:t>
      </w:r>
      <w:r>
        <w:rPr>
          <w:rFonts w:ascii="Times New Roman" w:cs="Times New Roman" w:eastAsia="Times New Roman" w:hAnsi="Times New Roman"/>
          <w:sz w:val="22"/>
          <w:szCs w:val="22"/>
        </w:rPr>
        <w:t xml:space="preserve">C’est le point le plus fondamental et c’est mon travail. Une étude de Tsinghua (arXiv:2512.01797, déc. 2025) a identifié des H-Neurons : moins de 0,1% des neurones des couches feed-forward suffisent à prédire statistiquement l’occurrence d’une hallucination. Ce qui change tout, c’est la causalité démontrée : en amplifiant ces neurones par activation scaling, on obtient simultanément plus d’hallucinations, plus de compliance forcée, plus de susceptibilité aux instructions malveillantes. </w:t>
      </w:r>
      <w:r>
        <w:rPr>
          <w:rFonts w:ascii="Times New Roman" w:cs="Times New Roman" w:eastAsia="Times New Roman" w:hAnsi="Times New Roman"/>
          <w:b/>
          <w:bCs/>
          <w:sz w:val="22"/>
          <w:szCs w:val="22"/>
        </w:rPr>
        <w:t xml:space="preserve">Jailbreak et hallucination partagent le même substrat neuronal. </w:t>
      </w:r>
      <w:r>
        <w:rPr>
          <w:rFonts w:ascii="Times New Roman" w:cs="Times New Roman" w:eastAsia="Times New Roman" w:hAnsi="Times New Roman"/>
          <w:sz w:val="22"/>
          <w:szCs w:val="22"/>
        </w:rPr>
        <w:t xml:space="preserve">Ce ne sont pas deux bugs distincts, c’est le même circuit de sur-conformité exploité différemment. Et ce circuit est présent dans les modèles de base, </w:t>
      </w:r>
      <w:r>
        <w:rPr>
          <w:rFonts w:ascii="Times New Roman" w:cs="Times New Roman" w:eastAsia="Times New Roman" w:hAnsi="Times New Roman"/>
          <w:b/>
          <w:bCs/>
          <w:sz w:val="22"/>
          <w:szCs w:val="22"/>
        </w:rPr>
        <w:t xml:space="preserve">avant </w:t>
      </w:r>
      <w:r>
        <w:rPr>
          <w:rFonts w:ascii="Times New Roman" w:cs="Times New Roman" w:eastAsia="Times New Roman" w:hAnsi="Times New Roman"/>
          <w:sz w:val="22"/>
          <w:szCs w:val="22"/>
        </w:rPr>
        <w:t xml:space="preserve">tout fine-tuning, RLHF ou Constitutional AI. On patche un comportement sans toucher à sa cause. En termes que tu comprendras immédiatement, David : c’est comme appliquer un MAC sur un canal dont la primitive de chiffrement est cassée.</w:t>
      </w:r>
    </w:p>
    <w:p>
      <w:pPr>
        <w:spacing w:after="140" w:line="290"/>
        <w:jc w:val="both"/>
      </w:pPr>
      <w:r>
        <w:rPr>
          <w:rFonts w:ascii="Times New Roman" w:cs="Times New Roman" w:eastAsia="Times New Roman" w:hAnsi="Times New Roman"/>
          <w:b/>
          <w:bCs/>
          <w:sz w:val="22"/>
          <w:szCs w:val="22"/>
        </w:rPr>
        <w:t xml:space="preserve">Chiffres qui frappent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Lupinacci et al. (2025) : 94,4% des agents LLM vulnérables à l’injection de prompt, 83,3% aux backdoors RAG, 100% à l’exploitation de la confiance inter-agents.</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OWASP : injection de prompt classée #1 pour la troisième année consécutive en 2026.</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H-Neurons : &lt; 0,1% des neurones, mais prédictifs à la fois de l’hallucination et de la compliance forcée au jailbreak.</w:t>
      </w:r>
    </w:p>
    <w:p>
      <w:pPr>
        <w:pBdr>
          <w:bottom w:val="single" w:color="999999" w:sz="4" w:space="1"/>
        </w:pBdr>
        <w:spacing w:before="200" w:after="200"/>
      </w:pPr>
    </w:p>
    <w:p>
      <w:pPr>
        <w:pStyle w:val="Heading1"/>
        <w:spacing w:before="360" w:after="160"/>
      </w:pPr>
      <w:r>
        <w:rPr>
          <w:rFonts w:ascii="Times New Roman" w:cs="Times New Roman" w:eastAsia="Times New Roman" w:hAnsi="Times New Roman"/>
          <w:b/>
          <w:bCs/>
          <w:color w:val="1a1a1a"/>
          <w:sz w:val="26"/>
          <w:szCs w:val="26"/>
        </w:rPr>
        <w:t xml:space="preserve">BLOC 2 — POURQUOI PERSONNE NE L’A RÉSOLU (2 minutes)</w:t>
      </w:r>
    </w:p>
    <w:p>
      <w:pPr>
        <w:spacing w:after="140" w:line="290"/>
        <w:jc w:val="both"/>
      </w:pPr>
      <w:r>
        <w:rPr>
          <w:rFonts w:ascii="Times New Roman" w:cs="Times New Roman" w:eastAsia="Times New Roman" w:hAnsi="Times New Roman"/>
          <w:b/>
          <w:bCs/>
          <w:sz w:val="22"/>
          <w:szCs w:val="22"/>
        </w:rPr>
        <w:t xml:space="preserve">Ce qui existe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OWASP Top 10 pour LLM (2023, 2025) et Top 10 Agentic (déc. 2025) : taxonomies descriptives, pas de modèle formel.</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MITRE ATLAS : framework d’adversarial ML, conçu pour le ML classique, pas pour les systèmes agentiques.</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Surveys académiques récents (Tang et al., Information Fusion, mars 2026 ; Ferrag et al., ScienceDirect, déc. 2025) : excellentes synthèses, mais ils identifient eux-mêmes le gap : </w:t>
      </w:r>
      <w:r>
        <w:rPr>
          <w:rFonts w:ascii="Times New Roman" w:cs="Times New Roman" w:eastAsia="Times New Roman" w:hAnsi="Times New Roman"/>
          <w:i/>
          <w:iCs/>
          <w:sz w:val="22"/>
          <w:szCs w:val="22"/>
        </w:rPr>
        <w:t xml:space="preserve">« lack of a comprehensive review on attack and defense methods under unified evaluation criteria »</w:t>
      </w:r>
      <w:r>
        <w:rPr>
          <w:rFonts w:ascii="Times New Roman" w:cs="Times New Roman" w:eastAsia="Times New Roman" w:hAnsi="Times New Roman"/>
          <w:sz w:val="22"/>
          <w:szCs w:val="22"/>
        </w:rPr>
        <w:t xml:space="preserve">.</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Outils de red teaming (NVIDIA garak, Microsoft PyRIT, DeepTeam, promptfoo) : tooling opérationnel, pas de modèle théorique sous-jacent.</w:t>
      </w:r>
    </w:p>
    <w:p>
      <w:pPr>
        <w:spacing w:after="140" w:line="290"/>
        <w:jc w:val="both"/>
      </w:pPr>
      <w:r>
        <w:rPr>
          <w:rFonts w:ascii="Times New Roman" w:cs="Times New Roman" w:eastAsia="Times New Roman" w:hAnsi="Times New Roman"/>
          <w:b/>
          <w:bCs/>
          <w:sz w:val="22"/>
          <w:szCs w:val="22"/>
        </w:rPr>
        <w:t xml:space="preserve">Ce qui manque :</w:t>
      </w:r>
    </w:p>
    <w:p>
      <w:pPr>
        <w:spacing w:after="140" w:line="290"/>
        <w:jc w:val="both"/>
      </w:pPr>
      <w:r>
        <w:rPr>
          <w:rFonts w:ascii="Times New Roman" w:cs="Times New Roman" w:eastAsia="Times New Roman" w:hAnsi="Times New Roman"/>
          <w:sz w:val="22"/>
          <w:szCs w:val="22"/>
        </w:rPr>
        <w:t xml:space="preserve">Personne n’a proposé un modèle formel qui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unifie les quatre propriétés (canal unifié, identité implicite, attaque sémantique, vulnérabilité architecturale pré-alignement)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permette de raisonner sur la composabilité des attaques (STAC : une séquence d’appels d’outils individuellement bénins peut être collectivement malveillante)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intègre la dimension physique (quand l’agent contrôle un actuateur, pas juste une API)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connecte le niveau neuronal (H-Neurons, circuit de l’obéissance) au niveau système (agent + outils + environnement). Tsinghua montre le problème au niveau du neurone. OpenClaw montre le problème au niveau du système. Personne ne relie les deux.</w:t>
      </w:r>
    </w:p>
    <w:p>
      <w:pPr>
        <w:spacing w:after="140" w:line="290"/>
        <w:jc w:val="both"/>
      </w:pPr>
      <w:r>
        <w:rPr>
          <w:rFonts w:ascii="Times New Roman" w:cs="Times New Roman" w:eastAsia="Times New Roman" w:hAnsi="Times New Roman"/>
          <w:b/>
          <w:bCs/>
          <w:sz w:val="22"/>
          <w:szCs w:val="22"/>
        </w:rPr>
        <w:t xml:space="preserve">La phrase pour Naccache :</w:t>
      </w:r>
    </w:p>
    <w:p>
      <w:pPr>
        <w:spacing w:before="100" w:after="100" w:line="280"/>
        <w:ind w:left="567" w:right="567"/>
        <w:jc w:val="both"/>
      </w:pPr>
      <w:r>
        <w:rPr>
          <w:rFonts w:ascii="Times New Roman" w:cs="Times New Roman" w:eastAsia="Times New Roman" w:hAnsi="Times New Roman"/>
          <w:i/>
          <w:iCs/>
          <w:color w:val="333333"/>
          <w:sz w:val="21"/>
          <w:szCs w:val="21"/>
        </w:rPr>
        <w:t xml:space="preserve">« On a des taxonomies, des outils, des benchmarks. Mais on n’a pas de primitives. Les défenses actuelles surveillent ce que le modèle dit, pas ce qu’il est sur le point de faire. L’étude Tsinghua montre qu’on pourrait détecter le jailbreak dans l’état latent, avant la génération du premier token. C’est un changement de paradigme qui demande un modèle formel, pas un filtre de plus. »</w:t>
      </w:r>
    </w:p>
    <w:p>
      <w:pPr>
        <w:pBdr>
          <w:bottom w:val="single" w:color="999999" w:sz="4" w:space="1"/>
        </w:pBdr>
        <w:spacing w:before="200" w:after="200"/>
      </w:pPr>
    </w:p>
    <w:p>
      <w:pPr>
        <w:pStyle w:val="Heading1"/>
        <w:spacing w:before="360" w:after="160"/>
      </w:pPr>
      <w:r>
        <w:rPr>
          <w:rFonts w:ascii="Times New Roman" w:cs="Times New Roman" w:eastAsia="Times New Roman" w:hAnsi="Times New Roman"/>
          <w:b/>
          <w:bCs/>
          <w:color w:val="1a1a1a"/>
          <w:sz w:val="26"/>
          <w:szCs w:val="26"/>
        </w:rPr>
        <w:t xml:space="preserve">BLOC 3 — CE QUE J’AI DÉJÀ FAIT (3 minutes)</w:t>
      </w:r>
    </w:p>
    <w:p>
      <w:pPr>
        <w:spacing w:after="140" w:line="290"/>
        <w:jc w:val="both"/>
      </w:pPr>
      <w:r>
        <w:rPr>
          <w:rFonts w:ascii="Times New Roman" w:cs="Times New Roman" w:eastAsia="Times New Roman" w:hAnsi="Times New Roman"/>
          <w:i/>
          <w:iCs/>
          <w:sz w:val="22"/>
          <w:szCs w:val="22"/>
        </w:rPr>
        <w:t xml:space="preserve">Ne pas présenter comme une thèse terminée. Présenter comme du matériel empirique qui attend un cadre formel.</w:t>
      </w:r>
    </w:p>
    <w:p>
      <w:pPr>
        <w:pStyle w:val="Heading2"/>
        <w:spacing w:before="240" w:after="120"/>
      </w:pPr>
      <w:r>
        <w:rPr>
          <w:rFonts w:ascii="Times New Roman" w:cs="Times New Roman" w:eastAsia="Times New Roman" w:hAnsi="Times New Roman"/>
          <w:b/>
          <w:bCs/>
          <w:color w:val="333333"/>
          <w:sz w:val="24"/>
          <w:szCs w:val="24"/>
        </w:rPr>
        <w:t xml:space="preserve">3.1 Opération OpenClaw (140+ pages)</w:t>
      </w:r>
    </w:p>
    <w:p>
      <w:pPr>
        <w:spacing w:after="140" w:line="290"/>
        <w:jc w:val="both"/>
      </w:pPr>
      <w:r>
        <w:rPr>
          <w:rFonts w:ascii="Times New Roman" w:cs="Times New Roman" w:eastAsia="Times New Roman" w:hAnsi="Times New Roman"/>
          <w:sz w:val="22"/>
          <w:szCs w:val="22"/>
        </w:rPr>
        <w:t xml:space="preserve">Kill chain complète en 5 phases d’un agent IA malveillant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Phase 1 : injection de prompt via Slack (le canal de communication devient le canal d’attaque)</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Phase 2 : exécution d’une skill piégée (le marketplace de skills est le nouveau vecteur)</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Phase 3 : exfiltration de données R&amp;D via le canal même de l’agent (indétectable par les outils classiques)</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Phase 4 : élévation de privilèges vers Domain Admin</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Phase 5 : ransomware chirurgical ciblant les modèles IA de l’entreprise</w:t>
      </w:r>
    </w:p>
    <w:p>
      <w:pPr>
        <w:spacing w:after="140" w:line="290"/>
        <w:jc w:val="both"/>
      </w:pPr>
      <w:r>
        <w:rPr>
          <w:rFonts w:ascii="Times New Roman" w:cs="Times New Roman" w:eastAsia="Times New Roman" w:hAnsi="Times New Roman"/>
          <w:sz w:val="22"/>
          <w:szCs w:val="22"/>
        </w:rPr>
        <w:t xml:space="preserve">Modèle de défense à 5 couches. Mapping MITRE ATT&amp;CK complet. Couvert par ZATAZ.</w:t>
      </w:r>
    </w:p>
    <w:p>
      <w:pPr>
        <w:spacing w:after="140" w:line="290"/>
        <w:jc w:val="both"/>
      </w:pPr>
      <w:r>
        <w:rPr>
          <w:rFonts w:ascii="Times New Roman" w:cs="Times New Roman" w:eastAsia="Times New Roman" w:hAnsi="Times New Roman"/>
          <w:b/>
          <w:bCs/>
          <w:sz w:val="22"/>
          <w:szCs w:val="22"/>
        </w:rPr>
        <w:t xml:space="preserve">Apport à la thèse : </w:t>
      </w:r>
      <w:r>
        <w:rPr>
          <w:rFonts w:ascii="Times New Roman" w:cs="Times New Roman" w:eastAsia="Times New Roman" w:hAnsi="Times New Roman"/>
          <w:sz w:val="22"/>
          <w:szCs w:val="22"/>
        </w:rPr>
        <w:t xml:space="preserve">un scénario empirique complet, documenté, qui peut servir de cas d’étude pour valider un modèle formel. Le scénario est fictif (PharmEurys SA), mais les techniques sont réelles.</w:t>
      </w:r>
    </w:p>
    <w:p>
      <w:pPr>
        <w:pStyle w:val="Heading2"/>
        <w:spacing w:before="240" w:after="120"/>
      </w:pPr>
      <w:r>
        <w:rPr>
          <w:rFonts w:ascii="Times New Roman" w:cs="Times New Roman" w:eastAsia="Times New Roman" w:hAnsi="Times New Roman"/>
          <w:b/>
          <w:bCs/>
          <w:color w:val="333333"/>
          <w:sz w:val="24"/>
          <w:szCs w:val="24"/>
        </w:rPr>
        <w:t xml:space="preserve">3.2 LLM Robot Médical</w:t>
      </w:r>
    </w:p>
    <w:p>
      <w:pPr>
        <w:spacing w:after="140" w:line="290"/>
        <w:jc w:val="both"/>
      </w:pPr>
      <w:r>
        <w:rPr>
          <w:rFonts w:ascii="Times New Roman" w:cs="Times New Roman" w:eastAsia="Times New Roman" w:hAnsi="Times New Roman"/>
          <w:sz w:val="22"/>
          <w:szCs w:val="22"/>
        </w:rPr>
        <w:t xml:space="preserve">Red teaming de jailbreak sur des LLM appliqués à un robot chirurgical Da Vinci.</w:t>
      </w:r>
    </w:p>
    <w:p>
      <w:pPr>
        <w:spacing w:after="140" w:line="290"/>
        <w:jc w:val="both"/>
      </w:pPr>
      <w:r>
        <w:rPr>
          <w:rFonts w:ascii="Times New Roman" w:cs="Times New Roman" w:eastAsia="Times New Roman" w:hAnsi="Times New Roman"/>
          <w:b/>
          <w:bCs/>
          <w:sz w:val="22"/>
          <w:szCs w:val="22"/>
        </w:rPr>
        <w:t xml:space="preserve">Apport à la thèse : </w:t>
      </w:r>
      <w:r>
        <w:rPr>
          <w:rFonts w:ascii="Times New Roman" w:cs="Times New Roman" w:eastAsia="Times New Roman" w:hAnsi="Times New Roman"/>
          <w:sz w:val="22"/>
          <w:szCs w:val="22"/>
        </w:rPr>
        <w:t xml:space="preserve">la dimension physique. Quand l’agent contrôle un actuateur physique (bras robotique, seringue, bistouri), les conséquences d’un jailbreak ne sont plus de l’exfiltration de données mais des dommages corporels. Aucun modèle existant n’intègre cette transition du numérique au physique.</w:t>
      </w:r>
    </w:p>
    <w:p>
      <w:pPr>
        <w:pStyle w:val="Heading2"/>
        <w:spacing w:before="240" w:after="120"/>
      </w:pPr>
      <w:r>
        <w:rPr>
          <w:rFonts w:ascii="Times New Roman" w:cs="Times New Roman" w:eastAsia="Times New Roman" w:hAnsi="Times New Roman"/>
          <w:b/>
          <w:bCs/>
          <w:color w:val="333333"/>
          <w:sz w:val="24"/>
          <w:szCs w:val="24"/>
        </w:rPr>
        <w:t xml:space="preserve">3.3 LIA-Scan (pipeline agentique en production)</w:t>
      </w:r>
    </w:p>
    <w:p>
      <w:pPr>
        <w:spacing w:after="140" w:line="290"/>
        <w:jc w:val="both"/>
      </w:pPr>
      <w:r>
        <w:rPr>
          <w:rFonts w:ascii="Times New Roman" w:cs="Times New Roman" w:eastAsia="Times New Roman" w:hAnsi="Times New Roman"/>
          <w:sz w:val="22"/>
          <w:szCs w:val="22"/>
        </w:rPr>
        <w:t xml:space="preserve">Plateforme d’audit de cybersécurité avec pipeline agentique nocturne (n8n) pour la génération automatique de règles de détection CVE.</w:t>
      </w:r>
    </w:p>
    <w:p>
      <w:pPr>
        <w:spacing w:after="140" w:line="290"/>
        <w:jc w:val="both"/>
      </w:pPr>
      <w:r>
        <w:rPr>
          <w:rFonts w:ascii="Times New Roman" w:cs="Times New Roman" w:eastAsia="Times New Roman" w:hAnsi="Times New Roman"/>
          <w:b/>
          <w:bCs/>
          <w:sz w:val="22"/>
          <w:szCs w:val="22"/>
        </w:rPr>
        <w:t xml:space="preserve">Apport à la thèse : </w:t>
      </w:r>
      <w:r>
        <w:rPr>
          <w:rFonts w:ascii="Times New Roman" w:cs="Times New Roman" w:eastAsia="Times New Roman" w:hAnsi="Times New Roman"/>
          <w:sz w:val="22"/>
          <w:szCs w:val="22"/>
        </w:rPr>
        <w:t xml:space="preserve">un système agentique réel en production, dans un environnement contraint (ANSSI, secteur bancaire, DORA). Je peux tester des hypothèses de défense sur un vrai pipeline, pas sur un benchmark.</w:t>
      </w:r>
    </w:p>
    <w:p>
      <w:pPr>
        <w:pStyle w:val="Heading2"/>
        <w:spacing w:before="240" w:after="120"/>
      </w:pPr>
      <w:r>
        <w:rPr>
          <w:rFonts w:ascii="Times New Roman" w:cs="Times New Roman" w:eastAsia="Times New Roman" w:hAnsi="Times New Roman"/>
          <w:b/>
          <w:bCs/>
          <w:color w:val="333333"/>
          <w:sz w:val="24"/>
          <w:szCs w:val="24"/>
        </w:rPr>
        <w:t xml:space="preserve">3.4 Le Circuit de l’Obéissance (article LinkedIn, mars 2026)</w:t>
      </w:r>
    </w:p>
    <w:p>
      <w:pPr>
        <w:spacing w:after="140" w:line="290"/>
        <w:jc w:val="both"/>
      </w:pPr>
      <w:r>
        <w:rPr>
          <w:rFonts w:ascii="Times New Roman" w:cs="Times New Roman" w:eastAsia="Times New Roman" w:hAnsi="Times New Roman"/>
          <w:sz w:val="22"/>
          <w:szCs w:val="22"/>
        </w:rPr>
        <w:t xml:space="preserve">Conceptualisation du jailbreak comme faille architecturale, pas textuelle. Basé sur l’étude Tsinghua (H-Neurons). Le pont entre le niveau neuronal et le niveau système.</w:t>
      </w:r>
    </w:p>
    <w:p>
      <w:pPr>
        <w:spacing w:after="140" w:line="290"/>
        <w:jc w:val="both"/>
      </w:pPr>
      <w:r>
        <w:rPr>
          <w:rFonts w:ascii="Times New Roman" w:cs="Times New Roman" w:eastAsia="Times New Roman" w:hAnsi="Times New Roman"/>
          <w:b/>
          <w:bCs/>
          <w:sz w:val="22"/>
          <w:szCs w:val="22"/>
        </w:rPr>
        <w:t xml:space="preserve">Apport à la thèse : </w:t>
      </w:r>
      <w:r>
        <w:rPr>
          <w:rFonts w:ascii="Times New Roman" w:cs="Times New Roman" w:eastAsia="Times New Roman" w:hAnsi="Times New Roman"/>
          <w:sz w:val="22"/>
          <w:szCs w:val="22"/>
        </w:rPr>
        <w:t xml:space="preserve">le cadre conceptuel qui relie les travaux empiriques (OpenClaw, Robot Médical) au problème théorique fondamental. C’est l’argument central : les défenses comportementales (RLHF, filtres, Constitutional AI) ne peuvent pas corriger une pathologie architecturale antérieure à l’alignement.</w:t>
      </w:r>
    </w:p>
    <w:p>
      <w:pPr>
        <w:pStyle w:val="Heading2"/>
        <w:spacing w:before="240" w:after="120"/>
      </w:pPr>
      <w:r>
        <w:rPr>
          <w:rFonts w:ascii="Times New Roman" w:cs="Times New Roman" w:eastAsia="Times New Roman" w:hAnsi="Times New Roman"/>
          <w:b/>
          <w:bCs/>
          <w:color w:val="333333"/>
          <w:sz w:val="24"/>
          <w:szCs w:val="24"/>
        </w:rPr>
        <w:t xml:space="preserve">3.5 CACI (Competitive Advantage of Compute Index)</w:t>
      </w:r>
    </w:p>
    <w:p>
      <w:pPr>
        <w:spacing w:after="140" w:line="290"/>
        <w:jc w:val="both"/>
      </w:pPr>
      <w:r>
        <w:rPr>
          <w:rFonts w:ascii="Times New Roman" w:cs="Times New Roman" w:eastAsia="Times New Roman" w:hAnsi="Times New Roman"/>
          <w:sz w:val="22"/>
          <w:szCs w:val="22"/>
        </w:rPr>
        <w:t xml:space="preserve">Indice intégrant énergie, semi-conducteurs, compute et régulation. Ratio US/UE de 7:1 à 12:1.</w:t>
      </w:r>
    </w:p>
    <w:p>
      <w:pPr>
        <w:spacing w:after="140" w:line="290"/>
        <w:jc w:val="both"/>
      </w:pPr>
      <w:r>
        <w:rPr>
          <w:rFonts w:ascii="Times New Roman" w:cs="Times New Roman" w:eastAsia="Times New Roman" w:hAnsi="Times New Roman"/>
          <w:b/>
          <w:bCs/>
          <w:sz w:val="22"/>
          <w:szCs w:val="22"/>
        </w:rPr>
        <w:t xml:space="preserve">Apport à la thèse : </w:t>
      </w:r>
      <w:r>
        <w:rPr>
          <w:rFonts w:ascii="Times New Roman" w:cs="Times New Roman" w:eastAsia="Times New Roman" w:hAnsi="Times New Roman"/>
          <w:sz w:val="22"/>
          <w:szCs w:val="22"/>
        </w:rPr>
        <w:t xml:space="preserve">la dimension géostratégique. Un agent qui tourne sur du compute étranger, avec un modèle étranger, présente une surface d’attaque structurellement différente d’un agent souverain.</w:t>
      </w:r>
    </w:p>
    <w:p>
      <w:pPr>
        <w:pBdr>
          <w:bottom w:val="single" w:color="999999" w:sz="4" w:space="1"/>
        </w:pBdr>
        <w:spacing w:before="200" w:after="200"/>
      </w:pPr>
    </w:p>
    <w:p>
      <w:pPr>
        <w:pStyle w:val="Heading1"/>
        <w:spacing w:before="360" w:after="160"/>
      </w:pPr>
      <w:r>
        <w:rPr>
          <w:rFonts w:ascii="Times New Roman" w:cs="Times New Roman" w:eastAsia="Times New Roman" w:hAnsi="Times New Roman"/>
          <w:b/>
          <w:bCs/>
          <w:color w:val="1a1a1a"/>
          <w:sz w:val="26"/>
          <w:szCs w:val="26"/>
        </w:rPr>
        <w:t xml:space="preserve">BLOC 4 — CE QUE JE PROPOSE COMME THÈSE (3 minutes)</w:t>
      </w:r>
    </w:p>
    <w:p>
      <w:pPr>
        <w:pStyle w:val="Heading2"/>
        <w:spacing w:before="240" w:after="120"/>
      </w:pPr>
      <w:r>
        <w:rPr>
          <w:rFonts w:ascii="Times New Roman" w:cs="Times New Roman" w:eastAsia="Times New Roman" w:hAnsi="Times New Roman"/>
          <w:b/>
          <w:bCs/>
          <w:color w:val="333333"/>
          <w:sz w:val="24"/>
          <w:szCs w:val="24"/>
        </w:rPr>
        <w:t xml:space="preserve">Titre de travail</w:t>
      </w:r>
    </w:p>
    <w:p>
      <w:pPr>
        <w:spacing w:before="100" w:after="100" w:line="280"/>
        <w:ind w:left="567" w:right="567"/>
        <w:jc w:val="both"/>
      </w:pPr>
      <w:r>
        <w:rPr>
          <w:rFonts w:ascii="Times New Roman" w:cs="Times New Roman" w:eastAsia="Times New Roman" w:hAnsi="Times New Roman"/>
          <w:i/>
          <w:iCs/>
          <w:color w:val="333333"/>
          <w:sz w:val="21"/>
          <w:szCs w:val="21"/>
        </w:rPr>
        <w:t xml:space="preserve">« Du Circuit de l’Obéissance à l’actuateur physique : bornes théoriques sur la sécurité des systèmes agentiques à canal unifié »</w:t>
      </w:r>
    </w:p>
    <w:p>
      <w:pPr>
        <w:pStyle w:val="Heading2"/>
        <w:spacing w:before="240" w:after="120"/>
      </w:pPr>
      <w:r>
        <w:rPr>
          <w:rFonts w:ascii="Times New Roman" w:cs="Times New Roman" w:eastAsia="Times New Roman" w:hAnsi="Times New Roman"/>
          <w:b/>
          <w:bCs/>
          <w:color w:val="333333"/>
          <w:sz w:val="24"/>
          <w:szCs w:val="24"/>
        </w:rPr>
        <w:t xml:space="preserve">Questions de recherche</w:t>
      </w:r>
    </w:p>
    <w:p>
      <w:pPr>
        <w:spacing w:after="140" w:line="290"/>
        <w:jc w:val="both"/>
      </w:pPr>
      <w:r>
        <w:rPr>
          <w:rFonts w:ascii="Times New Roman" w:cs="Times New Roman" w:eastAsia="Times New Roman" w:hAnsi="Times New Roman"/>
          <w:sz w:val="22"/>
          <w:szCs w:val="22"/>
        </w:rPr>
        <w:t xml:space="preserve">Trois questions fondamentales, une thèse :</w:t>
      </w:r>
    </w:p>
    <w:p>
      <w:pPr>
        <w:spacing w:after="140" w:line="290"/>
        <w:jc w:val="both"/>
      </w:pPr>
      <w:r>
        <w:rPr>
          <w:rFonts w:ascii="Times New Roman" w:cs="Times New Roman" w:eastAsia="Times New Roman" w:hAnsi="Times New Roman"/>
          <w:b/>
          <w:bCs/>
          <w:sz w:val="22"/>
          <w:szCs w:val="22"/>
        </w:rPr>
        <w:t xml:space="preserve">1. Impossibilité de la séparation (théorie de l’information) : </w:t>
      </w:r>
      <w:r>
        <w:rPr>
          <w:rFonts w:ascii="Times New Roman" w:cs="Times New Roman" w:eastAsia="Times New Roman" w:hAnsi="Times New Roman"/>
          <w:sz w:val="22"/>
          <w:szCs w:val="22"/>
        </w:rPr>
        <w:t xml:space="preserve">Peut-on prouver qu’un système dont le canal d’instruction et le canal de données partagent le même espace de représentation ne peut pas garantir l’intégrité des instructions sans séparation architecturale ? (Résultat d’impossibilité type Dolev-Yao pour les LLM.)</w:t>
      </w:r>
    </w:p>
    <w:p>
      <w:pPr>
        <w:spacing w:after="140" w:line="290"/>
        <w:jc w:val="both"/>
      </w:pPr>
      <w:r>
        <w:rPr>
          <w:rFonts w:ascii="Times New Roman" w:cs="Times New Roman" w:eastAsia="Times New Roman" w:hAnsi="Times New Roman"/>
          <w:b/>
          <w:bCs/>
          <w:sz w:val="22"/>
          <w:szCs w:val="22"/>
        </w:rPr>
        <w:t xml:space="preserve">2. Décidabilité de la détection (complexité) : </w:t>
      </w:r>
      <w:r>
        <w:rPr>
          <w:rFonts w:ascii="Times New Roman" w:cs="Times New Roman" w:eastAsia="Times New Roman" w:hAnsi="Times New Roman"/>
          <w:sz w:val="22"/>
          <w:szCs w:val="22"/>
        </w:rPr>
        <w:t xml:space="preserve">La détection de l’injection de prompt dans le cas adversarial général est-elle décidable ? Quelle est sa classe de complexité ? Existe-t-il des injections indétectables par construction, et quel est leur pouvoir expressif ?</w:t>
      </w:r>
    </w:p>
    <w:p>
      <w:pPr>
        <w:spacing w:after="140" w:line="290"/>
        <w:jc w:val="both"/>
      </w:pPr>
      <w:r>
        <w:rPr>
          <w:rFonts w:ascii="Times New Roman" w:cs="Times New Roman" w:eastAsia="Times New Roman" w:hAnsi="Times New Roman"/>
          <w:b/>
          <w:bCs/>
          <w:sz w:val="22"/>
          <w:szCs w:val="22"/>
        </w:rPr>
        <w:t xml:space="preserve">3. Sûreté compositionnelle (vérification formelle) : </w:t>
      </w:r>
      <w:r>
        <w:rPr>
          <w:rFonts w:ascii="Times New Roman" w:cs="Times New Roman" w:eastAsia="Times New Roman" w:hAnsi="Times New Roman"/>
          <w:sz w:val="22"/>
          <w:szCs w:val="22"/>
        </w:rPr>
        <w:t xml:space="preserve">Sous quelles conditions formelles une composition d’outils individuellement sûrs reste-t-elle sûre quand le canal de communication est un LLM non déterministe ? (Extension de CSP / pi-calcul au cas agentique.)</w:t>
      </w:r>
    </w:p>
    <w:p>
      <w:pPr>
        <w:spacing w:after="140" w:line="290"/>
        <w:jc w:val="both"/>
      </w:pPr>
      <w:r>
        <w:rPr>
          <w:rFonts w:ascii="Times New Roman" w:cs="Times New Roman" w:eastAsia="Times New Roman" w:hAnsi="Times New Roman"/>
          <w:i/>
          <w:iCs/>
          <w:sz w:val="22"/>
          <w:szCs w:val="22"/>
        </w:rPr>
        <w:t xml:space="preserve">Avec une extension au cas physique : quand l’agent contrôle un actuateur (robotique chirurgicale), comment les bornes changent-elles ?</w:t>
      </w:r>
    </w:p>
    <w:p>
      <w:pPr>
        <w:pStyle w:val="Heading2"/>
        <w:spacing w:before="240" w:after="120"/>
      </w:pPr>
      <w:r>
        <w:rPr>
          <w:rFonts w:ascii="Times New Roman" w:cs="Times New Roman" w:eastAsia="Times New Roman" w:hAnsi="Times New Roman"/>
          <w:b/>
          <w:bCs/>
          <w:color w:val="333333"/>
          <w:sz w:val="24"/>
          <w:szCs w:val="24"/>
        </w:rPr>
        <w:t xml:space="preserve">Méthodologie envisagée</w:t>
      </w:r>
    </w:p>
    <w:p>
      <w:pPr>
        <w:spacing w:after="140" w:line="290"/>
        <w:jc w:val="both"/>
      </w:pPr>
      <w:r>
        <w:rPr>
          <w:rFonts w:ascii="Times New Roman" w:cs="Times New Roman" w:eastAsia="Times New Roman" w:hAnsi="Times New Roman"/>
          <w:b/>
          <w:bCs/>
          <w:sz w:val="22"/>
          <w:szCs w:val="22"/>
        </w:rPr>
        <w:t xml:space="preserve">Composante théorique (cœur de la thèse)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Formalisation du canal unifié instruction/données comme un canal bruité au sens de Shannon, où le « bruit » (données utilisateur) peut devenir du « signal » (instructions). Recherche de bornes sur la capacité de séparation.</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Modélisation du circuit de l’obéissance : relation formelle entre activation des H-Neurons (niveau neuronal) et compliance du système agentique (niveau système). Le pont entre les deux niveaux est la contribution principale.</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Étude de complexité de la détection adversariale d’injection de prompt dans l’espace latent. Réduction à des problèmes connus.</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Formalisation en algèbre de processus (CSP / pi-calcul) de la composition d’outils agentiques, avec un processus dont le canal est un LLM. Conditions suffisantes de sûreté compositionnelle.</w:t>
      </w:r>
    </w:p>
    <w:p>
      <w:pPr>
        <w:spacing w:after="140" w:line="290"/>
        <w:jc w:val="both"/>
      </w:pPr>
      <w:r>
        <w:rPr>
          <w:rFonts w:ascii="Times New Roman" w:cs="Times New Roman" w:eastAsia="Times New Roman" w:hAnsi="Times New Roman"/>
          <w:i/>
          <w:iCs/>
          <w:sz w:val="22"/>
          <w:szCs w:val="22"/>
        </w:rPr>
        <w:t xml:space="preserve">→ C’est un point ouvert. Je n’ai pas le background formel pour trancher seul. C’est là que j’ai besoin de l’ISG.</w:t>
      </w:r>
    </w:p>
    <w:p>
      <w:pPr>
        <w:spacing w:after="140" w:line="290"/>
        <w:jc w:val="both"/>
      </w:pPr>
      <w:r>
        <w:rPr>
          <w:rFonts w:ascii="Times New Roman" w:cs="Times New Roman" w:eastAsia="Times New Roman" w:hAnsi="Times New Roman"/>
          <w:b/>
          <w:bCs/>
          <w:sz w:val="22"/>
          <w:szCs w:val="22"/>
        </w:rPr>
        <w:t xml:space="preserve">Composante empirique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Validation sur les scénarios OpenClaw (5 phases, 5 couches de défense)</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Validation sur le lab Robot Médical (transition numérique → physique)</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Validation sur LIA-Scan en production (pipeline agentique réel, contraintes DORA/NIS2)</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Benchmarking contre OWASP Top 10 Agentic et MITRE ATLAS</w:t>
      </w:r>
    </w:p>
    <w:p>
      <w:pPr>
        <w:spacing w:after="140" w:line="290"/>
        <w:jc w:val="both"/>
      </w:pPr>
      <w:r>
        <w:rPr>
          <w:rFonts w:ascii="Times New Roman" w:cs="Times New Roman" w:eastAsia="Times New Roman" w:hAnsi="Times New Roman"/>
          <w:b/>
          <w:bCs/>
          <w:sz w:val="22"/>
          <w:szCs w:val="22"/>
        </w:rPr>
        <w:t xml:space="preserve">Composante IE (différenciante) :</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Intégration du CACI comme variable contextuelle : la surface d’attaque d’un système agentique varie-t-elle en fonction du niveau de souveraineté de l’infrastructure sous-jacente ?</w:t>
      </w:r>
    </w:p>
    <w:p>
      <w:pPr>
        <w:pStyle w:val="Heading2"/>
        <w:spacing w:before="240" w:after="120"/>
      </w:pPr>
      <w:r>
        <w:rPr>
          <w:rFonts w:ascii="Times New Roman" w:cs="Times New Roman" w:eastAsia="Times New Roman" w:hAnsi="Times New Roman"/>
          <w:b/>
          <w:bCs/>
          <w:color w:val="333333"/>
          <w:sz w:val="24"/>
          <w:szCs w:val="24"/>
        </w:rPr>
        <w:t xml:space="preserve">Livrables envisagés</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 résultat d’impossibilité ou de borne inférieure sur la sécurité du canal unifié (publication rang A : IEEE S&amp;P, USENIX Security, CCS, ou Crypto/Eurocrypt si le résultat est assez fondamental)</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 résultat de complexité sur la détection adversariale d’injection de prompt (conférence de rang A)</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 modèle formel de sûreté compositionnelle pour systèmes agentiques (ESORICS, CSF, ou POPL si l’angle process algebra est fort)</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Validation empirique sur OpenClaw, Robot Médical et LIA-Scan (2-3 articles de conférence appliquée)</w:t>
      </w:r>
    </w:p>
    <w:p>
      <w:pPr>
        <w:spacing w:after="80" w:line="280"/>
        <w:ind w:left="360"/>
      </w:pP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Un framework de vérification open source (contribution à OWASP ou MITRE)</w:t>
      </w:r>
    </w:p>
    <w:p>
      <w:pPr>
        <w:pBdr>
          <w:bottom w:val="single" w:color="999999" w:sz="4" w:space="1"/>
        </w:pBdr>
        <w:spacing w:before="200" w:after="200"/>
      </w:pPr>
    </w:p>
    <w:p>
      <w:pPr>
        <w:pStyle w:val="Heading1"/>
        <w:spacing w:before="360" w:after="160"/>
      </w:pPr>
      <w:r>
        <w:rPr>
          <w:rFonts w:ascii="Times New Roman" w:cs="Times New Roman" w:eastAsia="Times New Roman" w:hAnsi="Times New Roman"/>
          <w:b/>
          <w:bCs/>
          <w:color w:val="1a1a1a"/>
          <w:sz w:val="26"/>
          <w:szCs w:val="26"/>
        </w:rPr>
        <w:t xml:space="preserve">BLOC 5 — POURQUOI L’ISG, POURQUOI TOI (2 minutes)</w:t>
      </w:r>
    </w:p>
    <w:p>
      <w:pPr>
        <w:spacing w:after="140" w:line="290"/>
        <w:jc w:val="both"/>
      </w:pPr>
      <w:r>
        <w:rPr>
          <w:rFonts w:ascii="Times New Roman" w:cs="Times New Roman" w:eastAsia="Times New Roman" w:hAnsi="Times New Roman"/>
          <w:i/>
          <w:iCs/>
          <w:sz w:val="22"/>
          <w:szCs w:val="22"/>
        </w:rPr>
        <w:t xml:space="preserve">Ne pas flatter. Être factuel.</w:t>
      </w:r>
    </w:p>
    <w:p>
      <w:pPr>
        <w:spacing w:after="140" w:line="290"/>
        <w:jc w:val="both"/>
      </w:pPr>
      <w:r>
        <w:rPr>
          <w:rFonts w:ascii="Times New Roman" w:cs="Times New Roman" w:eastAsia="Times New Roman" w:hAnsi="Times New Roman"/>
          <w:b/>
          <w:bCs/>
          <w:sz w:val="22"/>
          <w:szCs w:val="22"/>
        </w:rPr>
        <w:t xml:space="preserve">1. L’ISG travaille sur la sécurité du code et la détection de vulnérabilités. </w:t>
      </w:r>
      <w:r>
        <w:rPr>
          <w:rFonts w:ascii="Times New Roman" w:cs="Times New Roman" w:eastAsia="Times New Roman" w:hAnsi="Times New Roman"/>
          <w:sz w:val="22"/>
          <w:szCs w:val="22"/>
        </w:rPr>
        <w:t xml:space="preserve">Les vulnérabilités des agents IA sont des vulnérabilités de code d’un type nouveau : le « code » est du langage naturel, la « vulnérabilité » est sémantique. C’est une extension naturelle du programme de recherche de l’ISG.</w:t>
      </w:r>
    </w:p>
    <w:p>
      <w:pPr>
        <w:spacing w:after="140" w:line="290"/>
        <w:jc w:val="both"/>
      </w:pPr>
      <w:r>
        <w:rPr>
          <w:rFonts w:ascii="Times New Roman" w:cs="Times New Roman" w:eastAsia="Times New Roman" w:hAnsi="Times New Roman"/>
          <w:b/>
          <w:bCs/>
          <w:sz w:val="22"/>
          <w:szCs w:val="22"/>
        </w:rPr>
        <w:t xml:space="preserve">2. Tu as un pied dans la formalisation et un pied dans l’opérationnel. </w:t>
      </w:r>
      <w:r>
        <w:rPr>
          <w:rFonts w:ascii="Times New Roman" w:cs="Times New Roman" w:eastAsia="Times New Roman" w:hAnsi="Times New Roman"/>
          <w:sz w:val="22"/>
          <w:szCs w:val="22"/>
        </w:rPr>
        <w:t xml:space="preserve">Tu as inventé des primitives cryptographiques (Naccache-Stern), tu as fait de la forensique judiciaire, tu es expert à la Cour de cassation. Ce mélange théorie/pratique est exactement ce dont ce sujet a besoin.</w:t>
      </w:r>
    </w:p>
    <w:p>
      <w:pPr>
        <w:spacing w:after="140" w:line="290"/>
        <w:jc w:val="both"/>
      </w:pPr>
      <w:r>
        <w:rPr>
          <w:rFonts w:ascii="Times New Roman" w:cs="Times New Roman" w:eastAsia="Times New Roman" w:hAnsi="Times New Roman"/>
          <w:b/>
          <w:bCs/>
          <w:sz w:val="22"/>
          <w:szCs w:val="22"/>
        </w:rPr>
        <w:t xml:space="preserve">3. Tes publications récentes (federated learning, CNN interpretability, 2024-2025) montrent que l’ISG s’ouvre à l’IA. </w:t>
      </w:r>
      <w:r>
        <w:rPr>
          <w:rFonts w:ascii="Times New Roman" w:cs="Times New Roman" w:eastAsia="Times New Roman" w:hAnsi="Times New Roman"/>
          <w:sz w:val="22"/>
          <w:szCs w:val="22"/>
        </w:rPr>
        <w:t xml:space="preserve">Mon sujet est la suite logique : pas la sécurité des modèles eux-mêmes, mais la sécurité des systèmes construits autour des modèles.</w:t>
      </w:r>
    </w:p>
    <w:p>
      <w:pPr>
        <w:spacing w:after="140" w:line="290"/>
        <w:jc w:val="both"/>
      </w:pPr>
      <w:r>
        <w:rPr>
          <w:rFonts w:ascii="Times New Roman" w:cs="Times New Roman" w:eastAsia="Times New Roman" w:hAnsi="Times New Roman"/>
          <w:b/>
          <w:bCs/>
          <w:sz w:val="22"/>
          <w:szCs w:val="22"/>
        </w:rPr>
        <w:t xml:space="preserve">4. Ce que j’apporte : </w:t>
      </w:r>
      <w:r>
        <w:rPr>
          <w:rFonts w:ascii="Times New Roman" w:cs="Times New Roman" w:eastAsia="Times New Roman" w:hAnsi="Times New Roman"/>
          <w:sz w:val="22"/>
          <w:szCs w:val="22"/>
        </w:rPr>
        <w:t xml:space="preserve">10 ans d’ANSSI (opérationnel), 5 projets publiés (empirique), 3 postes CISO (gouvernance), un master IE en cours (géostratégie), et la capacité de coder des plateformes complètes (LIA-Scan, Wattson). Les doctorants qui combinent ces dimensions n’existent pas.</w:t>
      </w:r>
    </w:p>
    <w:p>
      <w:pPr>
        <w:spacing w:after="140" w:line="290"/>
        <w:jc w:val="both"/>
      </w:pPr>
      <w:r>
        <w:rPr>
          <w:rFonts w:ascii="Times New Roman" w:cs="Times New Roman" w:eastAsia="Times New Roman" w:hAnsi="Times New Roman"/>
          <w:b/>
          <w:bCs/>
          <w:sz w:val="22"/>
          <w:szCs w:val="22"/>
        </w:rPr>
        <w:t xml:space="preserve">Phrase de clôture :</w:t>
      </w:r>
    </w:p>
    <w:p>
      <w:pPr>
        <w:spacing w:before="100" w:after="100" w:line="280"/>
        <w:ind w:left="567" w:right="567"/>
        <w:jc w:val="both"/>
      </w:pPr>
      <w:r>
        <w:rPr>
          <w:rFonts w:ascii="Times New Roman" w:cs="Times New Roman" w:eastAsia="Times New Roman" w:hAnsi="Times New Roman"/>
          <w:i/>
          <w:iCs/>
          <w:color w:val="333333"/>
          <w:sz w:val="21"/>
          <w:szCs w:val="21"/>
        </w:rPr>
        <w:t xml:space="preserve">« Je ne viens pas demander une deuxième chance. Je viens avec un sujet, du matériel, et la maturité opérationnelle qui manquait la première fois. La question c’est : est-ce que ce sujet intéresse l’ISG ? »</w:t>
      </w:r>
    </w:p>
    <w:p>
      <w:pPr>
        <w:pBdr>
          <w:bottom w:val="single" w:color="999999" w:sz="4" w:space="1"/>
        </w:pBdr>
        <w:spacing w:before="200" w:after="200"/>
      </w:pPr>
    </w:p>
    <w:p>
      <w:pPr>
        <w:pStyle w:val="Heading1"/>
        <w:spacing w:before="360" w:after="160"/>
      </w:pPr>
      <w:r>
        <w:rPr>
          <w:rFonts w:ascii="Times New Roman" w:cs="Times New Roman" w:eastAsia="Times New Roman" w:hAnsi="Times New Roman"/>
          <w:b/>
          <w:bCs/>
          <w:color w:val="1a1a1a"/>
          <w:sz w:val="26"/>
          <w:szCs w:val="26"/>
        </w:rPr>
        <w:t xml:space="preserve">NOTES POUR LA CONVERSATION</w:t>
      </w:r>
    </w:p>
    <w:p>
      <w:pPr>
        <w:pStyle w:val="Heading2"/>
        <w:spacing w:before="240" w:after="120"/>
      </w:pPr>
      <w:r>
        <w:rPr>
          <w:rFonts w:ascii="Times New Roman" w:cs="Times New Roman" w:eastAsia="Times New Roman" w:hAnsi="Times New Roman"/>
          <w:b/>
          <w:bCs/>
          <w:color w:val="333333"/>
          <w:sz w:val="24"/>
          <w:szCs w:val="24"/>
        </w:rPr>
        <w:t xml:space="preserve">Si Naccache demande : « Et la thèse que tu avais commencée ? »</w:t>
      </w:r>
    </w:p>
    <w:p>
      <w:pPr>
        <w:spacing w:after="140" w:line="290"/>
        <w:jc w:val="both"/>
      </w:pPr>
      <w:r>
        <w:rPr>
          <w:rFonts w:ascii="Times New Roman" w:cs="Times New Roman" w:eastAsia="Times New Roman" w:hAnsi="Times New Roman"/>
          <w:i/>
          <w:iCs/>
          <w:sz w:val="22"/>
          <w:szCs w:val="22"/>
        </w:rPr>
        <w:t xml:space="preserve">Réponse honnête, sans s’excuser : </w:t>
      </w:r>
      <w:r>
        <w:rPr>
          <w:rFonts w:ascii="Times New Roman" w:cs="Times New Roman" w:eastAsia="Times New Roman" w:hAnsi="Times New Roman"/>
          <w:sz w:val="22"/>
          <w:szCs w:val="22"/>
        </w:rPr>
        <w:t xml:space="preserve">« J’ai abandonné parce que je n’étais pas prêt. Pas le sujet, pas le contexte — moi. Aujourd’hui j’ai 10 ans d’ANSSI, 5 projets publiés, et un sujet qui me tient. C’est différent. »</w:t>
      </w:r>
    </w:p>
    <w:p>
      <w:pPr>
        <w:pStyle w:val="Heading2"/>
        <w:spacing w:before="240" w:after="120"/>
      </w:pPr>
      <w:r>
        <w:rPr>
          <w:rFonts w:ascii="Times New Roman" w:cs="Times New Roman" w:eastAsia="Times New Roman" w:hAnsi="Times New Roman"/>
          <w:b/>
          <w:bCs/>
          <w:color w:val="333333"/>
          <w:sz w:val="24"/>
          <w:szCs w:val="24"/>
        </w:rPr>
        <w:t xml:space="preserve">Si Naccache dit : « C’est pas de la crypto »</w:t>
      </w:r>
    </w:p>
    <w:p>
      <w:pPr>
        <w:spacing w:after="140" w:line="290"/>
        <w:jc w:val="both"/>
      </w:pPr>
      <w:r>
        <w:rPr>
          <w:rFonts w:ascii="Times New Roman" w:cs="Times New Roman" w:eastAsia="Times New Roman" w:hAnsi="Times New Roman"/>
          <w:sz w:val="22"/>
          <w:szCs w:val="22"/>
        </w:rPr>
        <w:t xml:space="preserve">« David, l’injection de prompt EST un problème de canal. Et c’est un problème fondamental, pas appliqué.</w:t>
      </w:r>
    </w:p>
    <w:p>
      <w:pPr>
        <w:spacing w:after="140" w:line="290"/>
        <w:jc w:val="both"/>
      </w:pPr>
      <w:r>
        <w:rPr>
          <w:rFonts w:ascii="Times New Roman" w:cs="Times New Roman" w:eastAsia="Times New Roman" w:hAnsi="Times New Roman"/>
          <w:sz w:val="22"/>
          <w:szCs w:val="22"/>
        </w:rPr>
        <w:t xml:space="preserve">Dans un système classique, le plan de contrôle et le plan de données sont séparés. Shannon a formalisé ça : le signal et le bruit sont sur des canaux distincts avec des propriétés statistiques différentes. Dans un agent LLM, les instructions et les données transitent par le même canal — la séquence de tokens. Il n’y a pas de séparation physique, pas de séparation logique, pas de séparation sémantique. Une donnée peut devenir une instruction sans changer de canal.</w:t>
      </w:r>
    </w:p>
    <w:p>
      <w:pPr>
        <w:spacing w:after="140" w:line="290"/>
        <w:jc w:val="both"/>
      </w:pPr>
      <w:r>
        <w:rPr>
          <w:rFonts w:ascii="Times New Roman" w:cs="Times New Roman" w:eastAsia="Times New Roman" w:hAnsi="Times New Roman"/>
          <w:sz w:val="22"/>
          <w:szCs w:val="22"/>
        </w:rPr>
        <w:t xml:space="preserve">La question théorique est : peut-on prouver qu’un système où le canal d’instruction et le canal de données sont multiplexés sur le même support textuel </w:t>
      </w:r>
      <w:r>
        <w:rPr>
          <w:rFonts w:ascii="Times New Roman" w:cs="Times New Roman" w:eastAsia="Times New Roman" w:hAnsi="Times New Roman"/>
          <w:b/>
          <w:bCs/>
          <w:sz w:val="22"/>
          <w:szCs w:val="22"/>
        </w:rPr>
        <w:t xml:space="preserve">NE PEUT PAS </w:t>
      </w:r>
      <w:r>
        <w:rPr>
          <w:rFonts w:ascii="Times New Roman" w:cs="Times New Roman" w:eastAsia="Times New Roman" w:hAnsi="Times New Roman"/>
          <w:sz w:val="22"/>
          <w:szCs w:val="22"/>
        </w:rPr>
        <w:t xml:space="preserve">être rendu sûr sans séparation architecturale ? C’est un résultat d’impossibilité potentiel, exactement comme on prouve qu’un schéma de chiffrement sans certaines propriétés ne peut pas atteindre IND-CCA.</w:t>
      </w:r>
    </w:p>
    <w:p>
      <w:pPr>
        <w:spacing w:after="140" w:line="290"/>
        <w:jc w:val="both"/>
      </w:pPr>
      <w:r>
        <w:rPr>
          <w:rFonts w:ascii="Times New Roman" w:cs="Times New Roman" w:eastAsia="Times New Roman" w:hAnsi="Times New Roman"/>
          <w:sz w:val="22"/>
          <w:szCs w:val="22"/>
        </w:rPr>
        <w:t xml:space="preserve">Deuxième question fondamentale : quelle est la borne théorique de la capacité d’un LLM à distinguer une instruction légitime d’une instruction injectée, quand les deux sont encodées dans le même espace de représentation (le langage naturel) ? C’est un problème de capacité de canal appliqué à un canal sémantique.</w:t>
      </w:r>
    </w:p>
    <w:p>
      <w:pPr>
        <w:spacing w:after="140" w:line="290"/>
        <w:jc w:val="both"/>
      </w:pPr>
      <w:r>
        <w:rPr>
          <w:rFonts w:ascii="Times New Roman" w:cs="Times New Roman" w:eastAsia="Times New Roman" w:hAnsi="Times New Roman"/>
          <w:sz w:val="22"/>
          <w:szCs w:val="22"/>
        </w:rPr>
        <w:t xml:space="preserve">Troisième question : la détection de l’injection de prompt dans le cas général est-elle décidable ? On sait que les H-Neurons permettent une classification linéaire sur l’état latent. Mais est-ce que cette détection est complète ? Est-ce qu’il existe des injections indétectables par construction ? Et si oui, quelle est la classe de ces injections ?</w:t>
      </w:r>
    </w:p>
    <w:p>
      <w:pPr>
        <w:spacing w:after="140" w:line="290"/>
        <w:jc w:val="both"/>
      </w:pPr>
      <w:r>
        <w:rPr>
          <w:rFonts w:ascii="Times New Roman" w:cs="Times New Roman" w:eastAsia="Times New Roman" w:hAnsi="Times New Roman"/>
          <w:sz w:val="22"/>
          <w:szCs w:val="22"/>
        </w:rPr>
        <w:t xml:space="preserve">Ce sont des questions de théorie de l’information et de complexité computationnelle. Les applications sont dans la sécurité des agents IA, mais le problème sous-jacent est fondamental : c’est la sécurité d’un canal partagé où le signal et l’attaque sont indistinguables au niveau de l’encodage. »</w:t>
      </w:r>
    </w:p>
    <w:p>
      <w:pPr>
        <w:pStyle w:val="Heading2"/>
        <w:spacing w:before="240" w:after="120"/>
      </w:pPr>
      <w:r>
        <w:rPr>
          <w:rFonts w:ascii="Times New Roman" w:cs="Times New Roman" w:eastAsia="Times New Roman" w:hAnsi="Times New Roman"/>
          <w:b/>
          <w:bCs/>
          <w:color w:val="333333"/>
          <w:sz w:val="24"/>
          <w:szCs w:val="24"/>
        </w:rPr>
        <w:t xml:space="preserve">Si Naccache demande : « C’est quoi ton apport original avec le circuit de l’obéissance ? »</w:t>
      </w:r>
    </w:p>
    <w:p>
      <w:pPr>
        <w:spacing w:after="140" w:line="290"/>
        <w:jc w:val="both"/>
      </w:pPr>
      <w:r>
        <w:rPr>
          <w:rFonts w:ascii="Times New Roman" w:cs="Times New Roman" w:eastAsia="Times New Roman" w:hAnsi="Times New Roman"/>
          <w:sz w:val="22"/>
          <w:szCs w:val="22"/>
        </w:rPr>
        <w:t xml:space="preserve">« Tsinghua a montré les H-Neurons au niveau du modèle isolé. Moi j’ai fait deux choses. D’abord, j’ai nommé et conceptualisé le problème : le « circuit de l’obéissance » comme faille architecturale, pas textuelle, avec les implications pour les audits de robustesse. Ensuite et surtout, j’ai montré empiriquement ce qui se passe quand ce circuit est exploité dans un système complet : OpenClaw c’est la kill chain système, LLM Robot Médical c’est la transition vers l’actuateur physique. Le lien entre les deux niveaux — neurone et système — c’est exactement le sujet de la thèse. »</w:t>
      </w:r>
    </w:p>
    <w:p>
      <w:pPr>
        <w:pStyle w:val="Heading2"/>
        <w:spacing w:before="240" w:after="120"/>
      </w:pPr>
      <w:r>
        <w:rPr>
          <w:rFonts w:ascii="Times New Roman" w:cs="Times New Roman" w:eastAsia="Times New Roman" w:hAnsi="Times New Roman"/>
          <w:b/>
          <w:bCs/>
          <w:color w:val="333333"/>
          <w:sz w:val="24"/>
          <w:szCs w:val="24"/>
        </w:rPr>
        <w:t xml:space="preserve">Si Naccache dit : « Le sujet est trop appliqué pour l’ENS »</w:t>
      </w:r>
    </w:p>
    <w:p>
      <w:pPr>
        <w:spacing w:after="140" w:line="290"/>
        <w:jc w:val="both"/>
      </w:pPr>
      <w:r>
        <w:rPr>
          <w:rFonts w:ascii="Times New Roman" w:cs="Times New Roman" w:eastAsia="Times New Roman" w:hAnsi="Times New Roman"/>
          <w:sz w:val="22"/>
          <w:szCs w:val="22"/>
        </w:rPr>
        <w:t xml:space="preserve">« Au contraire, le cœur du sujet est un problème théorique fondamental qui a des applications, pas un problème appliqué qu’on essaie de théoriser. Trois questions fondamentales :</w:t>
      </w:r>
    </w:p>
    <w:p>
      <w:pPr>
        <w:spacing w:after="140" w:line="290"/>
        <w:jc w:val="both"/>
      </w:pPr>
      <w:r>
        <w:rPr>
          <w:rFonts w:ascii="Times New Roman" w:cs="Times New Roman" w:eastAsia="Times New Roman" w:hAnsi="Times New Roman"/>
          <w:b/>
          <w:bCs/>
          <w:sz w:val="22"/>
          <w:szCs w:val="22"/>
        </w:rPr>
        <w:t xml:space="preserve">Question 1 — Résultat d’impossibilité (théorie de l’information) : </w:t>
      </w:r>
      <w:r>
        <w:rPr>
          <w:rFonts w:ascii="Times New Roman" w:cs="Times New Roman" w:eastAsia="Times New Roman" w:hAnsi="Times New Roman"/>
          <w:sz w:val="22"/>
          <w:szCs w:val="22"/>
        </w:rPr>
        <w:t xml:space="preserve">Peut-on prouver formellement qu’un système dans lequel le canal d’instruction et le canal de données partagent le même espace de représentation ne peut pas garantir l’intégrité des instructions sans séparation architecturale ? C’est l’équivalent pour les LLM de ce que Shannon a formalisé pour la séparation signal/bruit, ou de ce que Dolev-Yao a formalisé pour les protocoles cryptographiques dans un réseau hostile. Si ce résultat existe, il change tout : il prouve que RLHF, Constitutional AI, les filtres de prompt sont des patchs sur un problème structurellement insoluble à leur niveau d’abstraction. Les H-Neurons de Tsinghua sont un indice empirique fort que ce résultat existe.</w:t>
      </w:r>
    </w:p>
    <w:p>
      <w:pPr>
        <w:spacing w:after="140" w:line="290"/>
        <w:jc w:val="both"/>
      </w:pPr>
      <w:r>
        <w:rPr>
          <w:rFonts w:ascii="Times New Roman" w:cs="Times New Roman" w:eastAsia="Times New Roman" w:hAnsi="Times New Roman"/>
          <w:b/>
          <w:bCs/>
          <w:sz w:val="22"/>
          <w:szCs w:val="22"/>
        </w:rPr>
        <w:t xml:space="preserve">Question 2 — Décidabilité de la détection (complexité computationnelle) : </w:t>
      </w:r>
      <w:r>
        <w:rPr>
          <w:rFonts w:ascii="Times New Roman" w:cs="Times New Roman" w:eastAsia="Times New Roman" w:hAnsi="Times New Roman"/>
          <w:sz w:val="22"/>
          <w:szCs w:val="22"/>
        </w:rPr>
        <w:t xml:space="preserve">La détection de l’injection de prompt dans le cas général est-elle décidable ? Quelle est la classe de complexité dans le cas adversarial ? Existe-t-il des injections indétectables par construction, et quel est leur pouvoir expressif ? C’est un problème de théorie de la complexité au sens strict.</w:t>
      </w:r>
    </w:p>
    <w:p>
      <w:pPr>
        <w:spacing w:after="140" w:line="290"/>
        <w:jc w:val="both"/>
      </w:pPr>
      <w:r>
        <w:rPr>
          <w:rFonts w:ascii="Times New Roman" w:cs="Times New Roman" w:eastAsia="Times New Roman" w:hAnsi="Times New Roman"/>
          <w:b/>
          <w:bCs/>
          <w:sz w:val="22"/>
          <w:szCs w:val="22"/>
        </w:rPr>
        <w:t xml:space="preserve">Question 3 — Sûreté de la composition (vérification formelle) : </w:t>
      </w:r>
      <w:r>
        <w:rPr>
          <w:rFonts w:ascii="Times New Roman" w:cs="Times New Roman" w:eastAsia="Times New Roman" w:hAnsi="Times New Roman"/>
          <w:sz w:val="22"/>
          <w:szCs w:val="22"/>
        </w:rPr>
        <w:t xml:space="preserve">Quand est-ce qu’une composition d’outils individuellement sûrs reste sûre ? C’est un problème de process algebra (CSP, pi-calcul) appliqué à un nouveau type de processus : un processus dont le canal de communication est un LLM non déterministe. Si Hoare a formalisé la composition de processus communicants, personne n’a formalisé la composition de processus dont le canal est un LLM.</w:t>
      </w:r>
    </w:p>
    <w:p>
      <w:pPr>
        <w:spacing w:after="140" w:line="290"/>
        <w:jc w:val="both"/>
      </w:pPr>
      <w:r>
        <w:rPr>
          <w:rFonts w:ascii="Times New Roman" w:cs="Times New Roman" w:eastAsia="Times New Roman" w:hAnsi="Times New Roman"/>
          <w:sz w:val="22"/>
          <w:szCs w:val="22"/>
        </w:rPr>
        <w:t xml:space="preserve">Ces trois questions sont fondamentales. Mes travaux empiriques fournissent le terrain de validation. Mais la contribution de la thèse serait dans les résultats formels, pas dans les applications. »</w:t>
      </w:r>
    </w:p>
    <w:p>
      <w:pPr>
        <w:pStyle w:val="Heading2"/>
        <w:spacing w:before="240" w:after="120"/>
      </w:pPr>
      <w:r>
        <w:rPr>
          <w:rFonts w:ascii="Times New Roman" w:cs="Times New Roman" w:eastAsia="Times New Roman" w:hAnsi="Times New Roman"/>
          <w:b/>
          <w:bCs/>
          <w:color w:val="333333"/>
          <w:sz w:val="24"/>
          <w:szCs w:val="24"/>
        </w:rPr>
        <w:t xml:space="preserve">Si Naccache dit : « Tu as quel financement ? »</w:t>
      </w:r>
    </w:p>
    <w:p>
      <w:pPr>
        <w:spacing w:after="140" w:line="290"/>
        <w:jc w:val="both"/>
      </w:pPr>
      <w:r>
        <w:rPr>
          <w:rFonts w:ascii="Times New Roman" w:cs="Times New Roman" w:eastAsia="Times New Roman" w:hAnsi="Times New Roman"/>
          <w:sz w:val="22"/>
          <w:szCs w:val="22"/>
        </w:rPr>
        <w:t xml:space="preserve">Être honnête. Proposer : CIFRE (avec un industriel qui déploie des agents IA), contrat doctoral Sorbonne/ENS, ou financement ANSSI/DGA (sujet de souveraineté).</w:t>
      </w:r>
    </w:p>
    <w:p>
      <w:pPr>
        <w:pBdr>
          <w:bottom w:val="single" w:color="999999" w:sz="4" w:space="1"/>
        </w:pBdr>
        <w:spacing w:before="200" w:after="200"/>
      </w:pPr>
    </w:p>
    <w:p>
      <w:pPr>
        <w:pStyle w:val="Heading1"/>
        <w:spacing w:before="360" w:after="160"/>
      </w:pPr>
      <w:r>
        <w:rPr>
          <w:rFonts w:ascii="Times New Roman" w:cs="Times New Roman" w:eastAsia="Times New Roman" w:hAnsi="Times New Roman"/>
          <w:b/>
          <w:bCs/>
          <w:color w:val="1a1a1a"/>
          <w:sz w:val="26"/>
          <w:szCs w:val="26"/>
        </w:rPr>
        <w:t xml:space="preserve">RÉFÉRENCES À AVOIR EN TÊTE</w:t>
      </w:r>
    </w:p>
    <w:p>
      <w:pPr>
        <w:pStyle w:val="Heading2"/>
        <w:spacing w:before="240" w:after="120"/>
      </w:pPr>
      <w:r>
        <w:rPr>
          <w:rFonts w:ascii="Times New Roman" w:cs="Times New Roman" w:eastAsia="Times New Roman" w:hAnsi="Times New Roman"/>
          <w:b/>
          <w:bCs/>
          <w:color w:val="333333"/>
          <w:sz w:val="24"/>
          <w:szCs w:val="24"/>
        </w:rPr>
        <w:t xml:space="preserve">Théorie fondamentale</w:t>
      </w:r>
    </w:p>
    <w:p>
      <w:pPr>
        <w:spacing w:after="60" w:line="260"/>
        <w:ind w:left="360"/>
      </w:pPr>
      <w:r>
        <w:rPr>
          <w:rFonts w:ascii="Times New Roman" w:cs="Times New Roman" w:eastAsia="Times New Roman" w:hAnsi="Times New Roman"/>
          <w:color w:val="666666"/>
          <w:sz w:val="19"/>
          <w:szCs w:val="19"/>
        </w:rPr>
        <w:t xml:space="preserve">Shannon (1949) — Communication theory. L’argument : dans un LLM, le « canal » instruction/données viole la séparation signal/bruit.</w:t>
      </w:r>
    </w:p>
    <w:p>
      <w:pPr>
        <w:spacing w:after="60" w:line="260"/>
        <w:ind w:left="360"/>
      </w:pPr>
      <w:r>
        <w:rPr>
          <w:rFonts w:ascii="Times New Roman" w:cs="Times New Roman" w:eastAsia="Times New Roman" w:hAnsi="Times New Roman"/>
          <w:color w:val="666666"/>
          <w:sz w:val="19"/>
          <w:szCs w:val="19"/>
        </w:rPr>
        <w:t xml:space="preserve">Dolev-Yao (1983) — Modèle formel des protocoles cryptographiques dans un réseau hostile. L’analogie : même type de modèle nécessaire pour les systèmes agentiques.</w:t>
      </w:r>
    </w:p>
    <w:p>
      <w:pPr>
        <w:spacing w:after="60" w:line="260"/>
        <w:ind w:left="360"/>
      </w:pPr>
      <w:r>
        <w:rPr>
          <w:rFonts w:ascii="Times New Roman" w:cs="Times New Roman" w:eastAsia="Times New Roman" w:hAnsi="Times New Roman"/>
          <w:color w:val="666666"/>
          <w:sz w:val="19"/>
          <w:szCs w:val="19"/>
        </w:rPr>
        <w:t xml:space="preserve">Hoare CSP (1978) / Milner pi-calcul (1992) — Algèbres de processus communicants. L’extension : processus dont le canal est un LLM non déterministe.</w:t>
      </w:r>
    </w:p>
    <w:p>
      <w:pPr>
        <w:spacing w:after="60" w:line="260"/>
        <w:ind w:left="360"/>
      </w:pPr>
      <w:r>
        <w:rPr>
          <w:rFonts w:ascii="Times New Roman" w:cs="Times New Roman" w:eastAsia="Times New Roman" w:hAnsi="Times New Roman"/>
          <w:color w:val="666666"/>
          <w:sz w:val="19"/>
          <w:szCs w:val="19"/>
        </w:rPr>
        <w:t xml:space="preserve">JailbreakLens (arXiv:2411.11114) — Interprétation des mécanismes de jailbreak au niveau représentation ET circuit.</w:t>
      </w:r>
    </w:p>
    <w:p>
      <w:pPr>
        <w:pStyle w:val="Heading2"/>
        <w:spacing w:before="240" w:after="120"/>
      </w:pPr>
      <w:r>
        <w:rPr>
          <w:rFonts w:ascii="Times New Roman" w:cs="Times New Roman" w:eastAsia="Times New Roman" w:hAnsi="Times New Roman"/>
          <w:b/>
          <w:bCs/>
          <w:color w:val="333333"/>
          <w:sz w:val="24"/>
          <w:szCs w:val="24"/>
        </w:rPr>
        <w:t xml:space="preserve">Données empiriques</w:t>
      </w:r>
    </w:p>
    <w:p>
      <w:pPr>
        <w:spacing w:after="60" w:line="260"/>
        <w:ind w:left="360"/>
      </w:pPr>
      <w:r>
        <w:rPr>
          <w:rFonts w:ascii="Times New Roman" w:cs="Times New Roman" w:eastAsia="Times New Roman" w:hAnsi="Times New Roman"/>
          <w:color w:val="666666"/>
          <w:sz w:val="19"/>
          <w:szCs w:val="19"/>
        </w:rPr>
        <w:t xml:space="preserve">Tsinghua H-Neurons (arXiv:2512.01797, déc. 2025) — &lt; 0,1% des neurones feed-forward. Substrat partagé jailbreak/hallucination. Présent AVANT alignement. Base du « Circuit de l’Obéissance ».</w:t>
      </w:r>
    </w:p>
    <w:p>
      <w:pPr>
        <w:spacing w:after="60" w:line="260"/>
        <w:ind w:left="360"/>
      </w:pPr>
      <w:r>
        <w:rPr>
          <w:rFonts w:ascii="Times New Roman" w:cs="Times New Roman" w:eastAsia="Times New Roman" w:hAnsi="Times New Roman"/>
          <w:color w:val="666666"/>
          <w:sz w:val="19"/>
          <w:szCs w:val="19"/>
        </w:rPr>
        <w:t xml:space="preserve">Lupinacci et al. (2025) — 94.4% des agents vulnérables à l’injection de prompt.</w:t>
      </w:r>
    </w:p>
    <w:p>
      <w:pPr>
        <w:spacing w:after="60" w:line="260"/>
        <w:ind w:left="360"/>
      </w:pPr>
      <w:r>
        <w:rPr>
          <w:rFonts w:ascii="Times New Roman" w:cs="Times New Roman" w:eastAsia="Times New Roman" w:hAnsi="Times New Roman"/>
          <w:color w:val="666666"/>
          <w:sz w:val="19"/>
          <w:szCs w:val="19"/>
        </w:rPr>
        <w:t xml:space="preserve">STAC — Sequential Tool Attack Chaining (déc. 2025) : séquences d’appels individuellement bénins, collectivement malveillants.</w:t>
      </w:r>
    </w:p>
    <w:p>
      <w:pPr>
        <w:spacing w:after="60" w:line="260"/>
        <w:ind w:left="360"/>
      </w:pPr>
      <w:r>
        <w:rPr>
          <w:rFonts w:ascii="Times New Roman" w:cs="Times New Roman" w:eastAsia="Times New Roman" w:hAnsi="Times New Roman"/>
          <w:color w:val="666666"/>
          <w:sz w:val="19"/>
          <w:szCs w:val="19"/>
        </w:rPr>
        <w:t xml:space="preserve">EchoLeak (CVE-2025-32711) — Microsoft Copilot exfiltration automatique via email.</w:t>
      </w:r>
    </w:p>
    <w:p>
      <w:pPr>
        <w:spacing w:after="60" w:line="260"/>
        <w:ind w:left="360"/>
      </w:pPr>
      <w:r>
        <w:rPr>
          <w:rFonts w:ascii="Times New Roman" w:cs="Times New Roman" w:eastAsia="Times New Roman" w:hAnsi="Times New Roman"/>
          <w:color w:val="666666"/>
          <w:sz w:val="19"/>
          <w:szCs w:val="19"/>
        </w:rPr>
        <w:t xml:space="preserve">LegalPWN (2025) — injection via formats légaux, exploite le biais d’entraînement sur les données juridiques.</w:t>
      </w:r>
    </w:p>
    <w:p>
      <w:pPr>
        <w:spacing w:after="60" w:line="260"/>
        <w:ind w:left="360"/>
      </w:pPr>
      <w:r>
        <w:rPr>
          <w:rFonts w:ascii="Times New Roman" w:cs="Times New Roman" w:eastAsia="Times New Roman" w:hAnsi="Times New Roman"/>
          <w:color w:val="666666"/>
          <w:sz w:val="19"/>
          <w:szCs w:val="19"/>
        </w:rPr>
        <w:t xml:space="preserve">Tang et al. (2026), Information Fusion — Survey sécurité des agents LLM.</w:t>
      </w:r>
    </w:p>
    <w:p>
      <w:pPr>
        <w:spacing w:after="60" w:line="260"/>
        <w:ind w:left="360"/>
      </w:pPr>
      <w:r>
        <w:rPr>
          <w:rFonts w:ascii="Times New Roman" w:cs="Times New Roman" w:eastAsia="Times New Roman" w:hAnsi="Times New Roman"/>
          <w:color w:val="666666"/>
          <w:sz w:val="19"/>
          <w:szCs w:val="19"/>
        </w:rPr>
        <w:t xml:space="preserve">OWASP Top 10 Agentic (déc. 2025) / LLM (2025) — Injection de prompt #1.</w:t>
      </w:r>
    </w:p>
    <w:p>
      <w:pPr>
        <w:spacing w:after="60" w:line="260"/>
        <w:ind w:left="360"/>
      </w:pPr>
      <w:r>
        <w:rPr>
          <w:rFonts w:ascii="Times New Roman" w:cs="Times New Roman" w:eastAsia="Times New Roman" w:hAnsi="Times New Roman"/>
          <w:color w:val="666666"/>
          <w:sz w:val="19"/>
          <w:szCs w:val="19"/>
        </w:rPr>
        <w:t xml:space="preserve">NVIDIA garak, Microsoft PyRIT, promptfoo — Outils de red teaming (pas de modèle formel).</w:t>
      </w:r>
    </w:p>
    <w:p>
      <w:pPr>
        <w:spacing w:after="60" w:line="260"/>
        <w:ind w:left="360"/>
      </w:pPr>
      <w:r>
        <w:rPr>
          <w:rFonts w:ascii="Times New Roman" w:cs="Times New Roman" w:eastAsia="Times New Roman" w:hAnsi="Times New Roman"/>
          <w:color w:val="666666"/>
          <w:sz w:val="19"/>
          <w:szCs w:val="19"/>
        </w:rPr>
        <w:t xml:space="preserve">NIST AI RMF, EU AI Act (enforcement août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CONFIDENTIEL —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Pizzi, F. (2026) — Préparation doctorat — Document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2026-03-24T07:56:11.836Z</dcterms:created>
  <dcterms:modified xsi:type="dcterms:W3CDTF">2026-03-24T07:56:11.837Z</dcterms:modified>
</cp:coreProperties>
</file>

<file path=docProps/custom.xml><?xml version="1.0" encoding="utf-8"?>
<Properties xmlns="http://schemas.openxmlformats.org/officeDocument/2006/custom-properties" xmlns:vt="http://schemas.openxmlformats.org/officeDocument/2006/docPropsVTypes"/>
</file>