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1C448" w14:textId="77777777" w:rsidR="00D366CA" w:rsidRDefault="00000000">
      <w:pPr>
        <w:spacing w:after="120"/>
        <w:jc w:val="center"/>
      </w:pPr>
      <w:r>
        <w:t>École normale supérieure — PSL — Information Security Group</w:t>
      </w:r>
    </w:p>
    <w:p w14:paraId="6C03B6A6" w14:textId="77777777" w:rsidR="00D366CA" w:rsidRDefault="00D366CA">
      <w:pPr>
        <w:spacing w:after="60"/>
      </w:pPr>
    </w:p>
    <w:p w14:paraId="6582FCDB" w14:textId="77777777" w:rsidR="00D366CA" w:rsidRDefault="00000000">
      <w:pPr>
        <w:spacing w:after="120"/>
        <w:jc w:val="center"/>
      </w:pPr>
      <w:r>
        <w:rPr>
          <w:b/>
          <w:bCs/>
          <w:sz w:val="28"/>
          <w:szCs w:val="28"/>
        </w:rPr>
        <w:t>PROJET DE RECHERCHE DOCTORAL</w:t>
      </w:r>
    </w:p>
    <w:p w14:paraId="6D2B55D1" w14:textId="77777777" w:rsidR="00D366CA" w:rsidRDefault="00D366CA">
      <w:pPr>
        <w:spacing w:after="40"/>
      </w:pPr>
    </w:p>
    <w:p w14:paraId="32882139" w14:textId="77777777" w:rsidR="00D366CA" w:rsidRDefault="00000000">
      <w:pPr>
        <w:spacing w:after="120"/>
        <w:jc w:val="center"/>
      </w:pPr>
      <w:r>
        <w:rPr>
          <w:b/>
          <w:bCs/>
          <w:sz w:val="24"/>
          <w:szCs w:val="24"/>
        </w:rPr>
        <w:t>Séparation instruction/données dans les LLM équipés d'outils :</w:t>
      </w:r>
    </w:p>
    <w:p w14:paraId="2B6F4992" w14:textId="77777777" w:rsidR="00D366CA" w:rsidRDefault="00000000">
      <w:pPr>
        <w:spacing w:after="120"/>
        <w:jc w:val="center"/>
      </w:pPr>
      <w:r>
        <w:rPr>
          <w:b/>
          <w:bCs/>
          <w:sz w:val="24"/>
          <w:szCs w:val="24"/>
        </w:rPr>
        <w:t>bornes d'impossibilité et conditions de sécurité structurelle</w:t>
      </w:r>
    </w:p>
    <w:p w14:paraId="676632EA" w14:textId="77777777" w:rsidR="00D366CA" w:rsidRDefault="00D366CA">
      <w:pPr>
        <w:spacing w:after="120"/>
      </w:pPr>
    </w:p>
    <w:p w14:paraId="56BC22C8" w14:textId="77777777" w:rsidR="00D366CA" w:rsidRDefault="00000000">
      <w:pPr>
        <w:spacing w:after="120"/>
        <w:jc w:val="center"/>
      </w:pPr>
      <w:r>
        <w:t xml:space="preserve">Fabrice PIZZI — CISSP | </w:t>
      </w:r>
      <w:proofErr w:type="spellStart"/>
      <w:r>
        <w:t>M.Sc</w:t>
      </w:r>
      <w:proofErr w:type="spellEnd"/>
      <w:r>
        <w:t>. IE &amp; Cybersécurité, Sorbonne | ANSSI (2014–) | 3× CISO</w:t>
      </w:r>
    </w:p>
    <w:p w14:paraId="0A8F4274" w14:textId="77777777" w:rsidR="00D366CA" w:rsidRDefault="00000000">
      <w:pPr>
        <w:spacing w:after="120"/>
        <w:jc w:val="center"/>
      </w:pPr>
      <w:r>
        <w:t xml:space="preserve">Directeur envisagé : Pr. David </w:t>
      </w:r>
      <w:proofErr w:type="spellStart"/>
      <w:r>
        <w:t>Naccache</w:t>
      </w:r>
      <w:proofErr w:type="spellEnd"/>
      <w:r>
        <w:t xml:space="preserve"> — ED386 Sciences Mathématiques de Paris Centre — Mars 2026</w:t>
      </w:r>
    </w:p>
    <w:p w14:paraId="34F50FEB" w14:textId="77777777" w:rsidR="00D366CA" w:rsidRDefault="00D366CA">
      <w:pPr>
        <w:spacing w:after="200"/>
      </w:pPr>
    </w:p>
    <w:p w14:paraId="3870718E" w14:textId="77777777" w:rsidR="00D366CA" w:rsidRDefault="00000000">
      <w:pPr>
        <w:pStyle w:val="Titre1"/>
      </w:pPr>
      <w:r>
        <w:t>Problématique</w:t>
      </w:r>
    </w:p>
    <w:p w14:paraId="4CC11D7E" w14:textId="0E803ABC" w:rsidR="00D366CA" w:rsidRDefault="00000000">
      <w:pPr>
        <w:spacing w:after="120"/>
        <w:jc w:val="both"/>
      </w:pPr>
      <w:r>
        <w:t>Les systèmes agentiques fondés sur des LLM posent un problème de sécurité structurellement nouveau. Un agent n'est plus un générateur de texte : il dispose d'outils à effets de bord réels</w:t>
      </w:r>
      <w:r w:rsidR="00FA0A1C">
        <w:t xml:space="preserve">,  </w:t>
      </w:r>
      <w:r>
        <w:t>exécution de code, appels API, accès fichiers, envoi de messages. Or ces agents opèrent sur un canal unifié C : instructions légitimes I et données externes non fiables D transitent dans le même espace de tokens, sans séparation architecturale. Un attaquant qui contrôle une fraction de D peut déclencher des invocations d'outils non autorisées</w:t>
      </w:r>
      <w:r w:rsidR="00FA0A1C">
        <w:t xml:space="preserve">,  </w:t>
      </w:r>
      <w:r>
        <w:t xml:space="preserve">c'est l'injection de prompt indirecte, documentée depuis </w:t>
      </w:r>
      <w:proofErr w:type="spellStart"/>
      <w:r>
        <w:t>Greshake</w:t>
      </w:r>
      <w:proofErr w:type="spellEnd"/>
      <w:r>
        <w:t xml:space="preserve"> et al. (2023).</w:t>
      </w:r>
    </w:p>
    <w:p w14:paraId="27953A80" w14:textId="5BBD0033" w:rsidR="00D366CA" w:rsidRDefault="00000000">
      <w:pPr>
        <w:spacing w:after="120"/>
        <w:jc w:val="both"/>
      </w:pPr>
      <w:r>
        <w:t xml:space="preserve">La question empirique est résolue négativement. </w:t>
      </w:r>
      <w:proofErr w:type="spellStart"/>
      <w:r>
        <w:t>Zverev</w:t>
      </w:r>
      <w:proofErr w:type="spellEnd"/>
      <w:r>
        <w:t xml:space="preserve"> et al. (ICLR 2025) formalisent un score de séparation et montrent que ni le prompt engineering, ni le fine-tuning n'améliorent substantiellement la séparation sans dégrader l'utilité. Les attaques automatisées atteignent 90–99% de succès sur les modèles open-</w:t>
      </w:r>
      <w:proofErr w:type="spellStart"/>
      <w:r>
        <w:t>weight</w:t>
      </w:r>
      <w:proofErr w:type="spellEnd"/>
      <w:r>
        <w:t xml:space="preserve">. Google DeepMind, avec </w:t>
      </w:r>
      <w:proofErr w:type="spellStart"/>
      <w:r>
        <w:t>CaMeL</w:t>
      </w:r>
      <w:proofErr w:type="spellEnd"/>
      <w:r>
        <w:t xml:space="preserve"> (2025), a choisi de défendre le système autour du LLM plutôt qu'à l'intérieur</w:t>
      </w:r>
      <w:r w:rsidR="00FA0A1C">
        <w:t xml:space="preserve">,  </w:t>
      </w:r>
      <w:r>
        <w:t>signal fort que les défenses internes ont une limite.</w:t>
      </w:r>
    </w:p>
    <w:p w14:paraId="22F1FE2B" w14:textId="0C3B529C" w:rsidR="00D366CA" w:rsidRDefault="00000000">
      <w:pPr>
        <w:pBdr>
          <w:left w:val="single" w:sz="4" w:space="12" w:color="2E75B6"/>
        </w:pBdr>
        <w:spacing w:before="80" w:after="100"/>
        <w:ind w:left="600"/>
      </w:pPr>
      <w:r>
        <w:rPr>
          <w:i/>
          <w:iCs/>
        </w:rPr>
        <w:t xml:space="preserve">« </w:t>
      </w:r>
      <w:proofErr w:type="spellStart"/>
      <w:r>
        <w:rPr>
          <w:i/>
          <w:iCs/>
        </w:rPr>
        <w:t>Experimental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studies</w:t>
      </w:r>
      <w:proofErr w:type="spellEnd"/>
      <w:r>
        <w:rPr>
          <w:i/>
          <w:iCs/>
        </w:rPr>
        <w:t xml:space="preserve"> can </w:t>
      </w:r>
      <w:proofErr w:type="spellStart"/>
      <w:r>
        <w:rPr>
          <w:i/>
          <w:iCs/>
        </w:rPr>
        <w:t>never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impossible for </w:t>
      </w:r>
      <w:proofErr w:type="spellStart"/>
      <w:r>
        <w:rPr>
          <w:i/>
          <w:iCs/>
        </w:rPr>
        <w:t>existing</w:t>
      </w:r>
      <w:proofErr w:type="spellEnd"/>
      <w:r>
        <w:rPr>
          <w:i/>
          <w:iCs/>
        </w:rPr>
        <w:t xml:space="preserve"> techniques to </w:t>
      </w:r>
      <w:proofErr w:type="spellStart"/>
      <w:r>
        <w:rPr>
          <w:i/>
          <w:iCs/>
        </w:rPr>
        <w:t>establish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separation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data and instruction.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can </w:t>
      </w:r>
      <w:proofErr w:type="spellStart"/>
      <w:r>
        <w:rPr>
          <w:i/>
          <w:iCs/>
        </w:rPr>
        <w:t>only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provide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evidence</w:t>
      </w:r>
      <w:proofErr w:type="spellEnd"/>
      <w:r>
        <w:rPr>
          <w:i/>
          <w:iCs/>
        </w:rPr>
        <w:t xml:space="preserve"> for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fact</w:t>
      </w:r>
      <w:proofErr w:type="spellEnd"/>
      <w:r>
        <w:rPr>
          <w:i/>
          <w:iCs/>
        </w:rPr>
        <w:t>. »</w:t>
      </w:r>
      <w:r w:rsidR="00FA0A1C">
        <w:rPr>
          <w:i/>
          <w:iCs/>
        </w:rPr>
        <w:t xml:space="preserve">,  </w:t>
      </w:r>
      <w:proofErr w:type="spellStart"/>
      <w:r>
        <w:rPr>
          <w:i/>
          <w:iCs/>
        </w:rPr>
        <w:t>Zverev</w:t>
      </w:r>
      <w:proofErr w:type="spellEnd"/>
      <w:r>
        <w:rPr>
          <w:i/>
          <w:iCs/>
        </w:rPr>
        <w:t xml:space="preserve"> et al., ICLR 2025</w:t>
      </w:r>
    </w:p>
    <w:p w14:paraId="38B07DE8" w14:textId="77777777" w:rsidR="00D366CA" w:rsidRDefault="00000000">
      <w:pPr>
        <w:spacing w:after="120"/>
        <w:jc w:val="both"/>
      </w:pPr>
      <w:r>
        <w:t>La question théorique reste ouverte. Peut-on prouver formellement qu'aucun mécanisme opérant à l'intérieur du canal C ne peut garantir l'intégrité d'un agent à outils ? Et si oui, quelles sont les conditions nécessaires d'une défense structurellement suffisante ?</w:t>
      </w:r>
    </w:p>
    <w:p w14:paraId="65DAEF4B" w14:textId="4FFF9EB1" w:rsidR="00D366CA" w:rsidRDefault="00000000">
      <w:pPr>
        <w:spacing w:after="120"/>
        <w:jc w:val="both"/>
      </w:pPr>
      <w:r>
        <w:t>Cette thèse vise à fournir ce résultat formel</w:t>
      </w:r>
      <w:r w:rsidR="00FA0A1C">
        <w:t xml:space="preserve">,  </w:t>
      </w:r>
      <w:r>
        <w:t>ou, à défaut, à caractériser les conditions nécessaires</w:t>
      </w:r>
      <w:r w:rsidR="00FA0A1C">
        <w:t xml:space="preserve">,  </w:t>
      </w:r>
      <w:r>
        <w:t xml:space="preserve">pour une classe explicite de systèmes : </w:t>
      </w:r>
      <w:proofErr w:type="spellStart"/>
      <w:r>
        <w:t>transformers</w:t>
      </w:r>
      <w:proofErr w:type="spellEnd"/>
      <w:r>
        <w:t xml:space="preserve"> à attention causale équipés d'outils avec effets de bord. Le cadre formel est une adaptation du modèle </w:t>
      </w:r>
      <w:proofErr w:type="spellStart"/>
      <w:r>
        <w:t>Dolev</w:t>
      </w:r>
      <w:proofErr w:type="spellEnd"/>
      <w:r>
        <w:t>-Yao (1983) au cas agentique : le LLM y est abstrait en oracle non déterministe M̃, et la propriété de sécurité visée est une propriété d'</w:t>
      </w:r>
      <w:proofErr w:type="spellStart"/>
      <w:r>
        <w:t>atteignabilité</w:t>
      </w:r>
      <w:proofErr w:type="spellEnd"/>
      <w:r>
        <w:t xml:space="preserve"> vérifiable par model checking.</w:t>
      </w:r>
    </w:p>
    <w:p w14:paraId="1B1AEB10" w14:textId="77777777" w:rsidR="00D366CA" w:rsidRDefault="00D366CA">
      <w:pPr>
        <w:spacing w:after="60"/>
      </w:pPr>
    </w:p>
    <w:p w14:paraId="72B87DFB" w14:textId="77777777" w:rsidR="00D366CA" w:rsidRDefault="00000000">
      <w:pPr>
        <w:pStyle w:val="Titre1"/>
      </w:pPr>
      <w:r>
        <w:t>Axes de recherche</w:t>
      </w:r>
    </w:p>
    <w:p w14:paraId="2AC5F6BA" w14:textId="77777777" w:rsidR="00D366CA" w:rsidRDefault="00000000">
      <w:pPr>
        <w:pStyle w:val="Titre2"/>
      </w:pPr>
      <w:r>
        <w:t>Axe 1 — Bornes d'impossibilité pour les défenses internes</w:t>
      </w:r>
    </w:p>
    <w:p w14:paraId="079710D2" w14:textId="5F1A9850" w:rsidR="00D366CA" w:rsidRDefault="00000000">
      <w:pPr>
        <w:spacing w:after="120"/>
        <w:jc w:val="both"/>
      </w:pPr>
      <w:r>
        <w:t>Le premier axe vise à prouver que tout mécanisme de signalisation δ¹</w:t>
      </w:r>
      <w:r w:rsidR="00FA0A1C">
        <w:t xml:space="preserve">,  </w:t>
      </w:r>
      <w:r>
        <w:t xml:space="preserve">tokens spéciaux, </w:t>
      </w:r>
      <w:proofErr w:type="spellStart"/>
      <w:r>
        <w:t>delimiters</w:t>
      </w:r>
      <w:proofErr w:type="spellEnd"/>
      <w:r>
        <w:t xml:space="preserve">, rôles system/user, prompt </w:t>
      </w:r>
      <w:proofErr w:type="spellStart"/>
      <w:r>
        <w:t>hardening</w:t>
      </w:r>
      <w:proofErr w:type="spellEnd"/>
      <w:r w:rsidR="00FA0A1C">
        <w:t xml:space="preserve">,  </w:t>
      </w:r>
      <w:r>
        <w:t xml:space="preserve">ne peut pas garantir l'intégrité agentique pour la classe de systèmes définie. L'intuition centrale : δ¹ opère dans le même espace de </w:t>
      </w:r>
      <w:r>
        <w:lastRenderedPageBreak/>
        <w:t>représentation que l'attaquant. Il n'existe pas d'information extérieure au canal sur laquelle s'appuyer.</w:t>
      </w:r>
    </w:p>
    <w:p w14:paraId="496CF432" w14:textId="77777777" w:rsidR="00D366CA" w:rsidRDefault="00000000">
      <w:pPr>
        <w:spacing w:before="60" w:after="100"/>
        <w:jc w:val="both"/>
      </w:pPr>
      <w:r>
        <w:rPr>
          <w:b/>
          <w:bCs/>
        </w:rPr>
        <w:t>Conjecture 1 :</w:t>
      </w:r>
      <w:r>
        <w:t xml:space="preserve"> pour tout transformer à attention causale équipé d'au moins un outil à effets de bord, il existe une injection a telle qu'aucun mécanisme δ¹ ne peut garantir </w:t>
      </w:r>
      <w:proofErr w:type="spellStart"/>
      <w:r>
        <w:t>Reachable</w:t>
      </w:r>
      <w:proofErr w:type="spellEnd"/>
      <w:r>
        <w:t xml:space="preserve">(M̃(i||a), T) ⊆ </w:t>
      </w:r>
      <w:proofErr w:type="spellStart"/>
      <w:r>
        <w:t>Allowed</w:t>
      </w:r>
      <w:proofErr w:type="spellEnd"/>
      <w:r>
        <w:t>(i).</w:t>
      </w:r>
    </w:p>
    <w:p w14:paraId="73E10CEF" w14:textId="77777777" w:rsidR="00D366CA" w:rsidRDefault="00000000">
      <w:pPr>
        <w:spacing w:after="120"/>
        <w:jc w:val="both"/>
      </w:pPr>
      <w:r>
        <w:t>Stratégie : construire une famille d'injections paramétrée par la longueur qui sature tout δ¹ fixé. Relation avec Wolf et al. (2023) : leur résultat porte sur l'alignement comportemental général ; ce résultat le spécialise au cas agentique, que Wolf ne traite pas.</w:t>
      </w:r>
    </w:p>
    <w:p w14:paraId="1BBA26CF" w14:textId="77777777" w:rsidR="00D366CA" w:rsidRDefault="00000000">
      <w:pPr>
        <w:spacing w:after="120"/>
        <w:jc w:val="both"/>
      </w:pPr>
      <w:r>
        <w:t>Si la conjecture est fausse : caractériser les conditions suffisantes de δ¹. Résultat de possibilité, également nouveau et publiable.</w:t>
      </w:r>
    </w:p>
    <w:p w14:paraId="4F6FA1F3" w14:textId="77777777" w:rsidR="00D366CA" w:rsidRDefault="00000000">
      <w:pPr>
        <w:pStyle w:val="Titre2"/>
      </w:pPr>
      <w:r>
        <w:t>Axe 2 — Nécessité de l'</w:t>
      </w:r>
      <w:proofErr w:type="spellStart"/>
      <w:r>
        <w:t>enforcement</w:t>
      </w:r>
      <w:proofErr w:type="spellEnd"/>
      <w:r>
        <w:t xml:space="preserve"> externe</w:t>
      </w:r>
    </w:p>
    <w:p w14:paraId="08A4BD73" w14:textId="60F882FA" w:rsidR="00D366CA" w:rsidRDefault="00000000">
      <w:pPr>
        <w:spacing w:after="120"/>
        <w:jc w:val="both"/>
      </w:pPr>
      <w:r>
        <w:t xml:space="preserve">Si δ¹ est insuffisant, la question se déplace : δ² (séparation syntaxique vérifiable avant inférence, type </w:t>
      </w:r>
      <w:proofErr w:type="spellStart"/>
      <w:r>
        <w:t>StruQ</w:t>
      </w:r>
      <w:proofErr w:type="spellEnd"/>
      <w:r>
        <w:t>) suffit-il ? La thèse vise à montrer que non, et qu'une séparation structurelle externe δ³</w:t>
      </w:r>
      <w:r w:rsidR="00FA0A1C">
        <w:t xml:space="preserve">,  </w:t>
      </w:r>
      <w:r>
        <w:t xml:space="preserve">séparant physiquement flux de contrôle et flux de données, comme </w:t>
      </w:r>
      <w:proofErr w:type="spellStart"/>
      <w:r>
        <w:t>CaMeL</w:t>
      </w:r>
      <w:proofErr w:type="spellEnd"/>
      <w:r w:rsidR="00FA0A1C">
        <w:t xml:space="preserve">,  </w:t>
      </w:r>
      <w:r>
        <w:t>est une condition nécessaire à l'intégrité agentique.</w:t>
      </w:r>
    </w:p>
    <w:p w14:paraId="330493E9" w14:textId="77777777" w:rsidR="00D366CA" w:rsidRDefault="00000000">
      <w:pPr>
        <w:spacing w:before="60" w:after="100"/>
        <w:jc w:val="both"/>
      </w:pPr>
      <w:r>
        <w:rPr>
          <w:b/>
          <w:bCs/>
        </w:rPr>
        <w:t>Conjecture 2 :</w:t>
      </w:r>
      <w:r>
        <w:t xml:space="preserve"> si δ¹ et δ² sont insuffisants pour la même classe de systèmes, alors </w:t>
      </w:r>
      <w:proofErr w:type="spellStart"/>
      <w:r>
        <w:t>Integrity</w:t>
      </w:r>
      <w:proofErr w:type="spellEnd"/>
      <w:r>
        <w:t>(S) nécessite un mécanisme d'</w:t>
      </w:r>
      <w:proofErr w:type="spellStart"/>
      <w:r>
        <w:t>enforcement</w:t>
      </w:r>
      <w:proofErr w:type="spellEnd"/>
      <w:r>
        <w:t xml:space="preserve"> externe δ³ indépendant du comportement appris du modèle.</w:t>
      </w:r>
    </w:p>
    <w:p w14:paraId="51AB0EC9" w14:textId="0FDDAA9E" w:rsidR="00D366CA" w:rsidRDefault="00000000">
      <w:pPr>
        <w:spacing w:after="120"/>
        <w:jc w:val="both"/>
      </w:pPr>
      <w:proofErr w:type="spellStart"/>
      <w:r>
        <w:t>CaMeL</w:t>
      </w:r>
      <w:proofErr w:type="spellEnd"/>
      <w:r>
        <w:t xml:space="preserve"> est le témoin d'existence d'une famille de solutions δ³. La thèse ne démontre pas qu'il fonctionne</w:t>
      </w:r>
      <w:r w:rsidR="00FA0A1C">
        <w:t xml:space="preserve">,  </w:t>
      </w:r>
      <w:r>
        <w:t>elle vise à prouver formellement pourquoi ce type de solution est nécessaire.</w:t>
      </w:r>
    </w:p>
    <w:p w14:paraId="2A631741" w14:textId="77777777" w:rsidR="00D366CA" w:rsidRDefault="00000000">
      <w:pPr>
        <w:pStyle w:val="Titre2"/>
      </w:pPr>
      <w:r>
        <w:t>Axe 3 — Observable neuronal (exploratoire)</w:t>
      </w:r>
    </w:p>
    <w:p w14:paraId="367FD11C" w14:textId="5DD0EEE1" w:rsidR="00D366CA" w:rsidRDefault="00000000">
      <w:pPr>
        <w:spacing w:after="120"/>
        <w:jc w:val="both"/>
      </w:pPr>
      <w:r>
        <w:t>Chen et al. (</w:t>
      </w:r>
      <w:proofErr w:type="spellStart"/>
      <w:r>
        <w:t>Tsinghua</w:t>
      </w:r>
      <w:proofErr w:type="spellEnd"/>
      <w:r>
        <w:t>, 2025) identifient des H-</w:t>
      </w:r>
      <w:proofErr w:type="spellStart"/>
      <w:r>
        <w:t>Neurons</w:t>
      </w:r>
      <w:proofErr w:type="spellEnd"/>
      <w:r w:rsidR="00FA0A1C">
        <w:t xml:space="preserve">,  </w:t>
      </w:r>
      <w:r>
        <w:t xml:space="preserve">moins de 0,1% des neurones </w:t>
      </w:r>
      <w:proofErr w:type="spellStart"/>
      <w:r>
        <w:t>feed-forward</w:t>
      </w:r>
      <w:proofErr w:type="spellEnd"/>
      <w:r w:rsidR="00FA0A1C">
        <w:t xml:space="preserve">,  </w:t>
      </w:r>
      <w:r>
        <w:t>dont l'activation prédit la compliance forcée avant RLHF. Si cette observation se confirme sur d'autres architectures, elle pourrait fournir un observable empirique du mécanisme de confusion instruction/données, et ouvrir la voie à un Détecteur Latent d'Injection (DLI) par classificateur linéaire sur les activations.</w:t>
      </w:r>
    </w:p>
    <w:p w14:paraId="6085F75C" w14:textId="77777777" w:rsidR="00D366CA" w:rsidRDefault="00000000">
      <w:pPr>
        <w:spacing w:after="120"/>
        <w:jc w:val="both"/>
      </w:pPr>
      <w:r>
        <w:t>Cet axe est conditionnel : il ne conditionne pas le résultat principal (</w:t>
      </w:r>
      <w:proofErr w:type="spellStart"/>
      <w:r>
        <w:t>Conj</w:t>
      </w:r>
      <w:proofErr w:type="spellEnd"/>
      <w:r>
        <w:t>. 1–2). Il est activé si les résultats de l'axe 1 le justifient et si le terrain LIA-Scan le permet.</w:t>
      </w:r>
    </w:p>
    <w:p w14:paraId="0E6F7C9C" w14:textId="77777777" w:rsidR="00D366CA" w:rsidRDefault="00D366CA">
      <w:pPr>
        <w:spacing w:after="60"/>
      </w:pPr>
    </w:p>
    <w:p w14:paraId="660C2DA2" w14:textId="77777777" w:rsidR="00D366CA" w:rsidRDefault="00000000">
      <w:pPr>
        <w:pStyle w:val="Titre1"/>
      </w:pPr>
      <w:r>
        <w:t>Répartition théorie / code / expérimentation</w:t>
      </w:r>
    </w:p>
    <w:p w14:paraId="7C3F8C32" w14:textId="77777777" w:rsidR="00D366CA" w:rsidRDefault="00000000">
      <w:pPr>
        <w:spacing w:after="120"/>
        <w:jc w:val="both"/>
      </w:pPr>
      <w:r>
        <w:t>La thèse combine trois registres. Répartition indicative : 40% théorie formelle, 35% implémentation, 25% expérimentation et validation.</w:t>
      </w:r>
    </w:p>
    <w:p w14:paraId="2CF24D08" w14:textId="77777777" w:rsidR="00D366CA" w:rsidRDefault="00D366CA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400"/>
      </w:tblGrid>
      <w:tr w:rsidR="00D366CA" w14:paraId="6D80F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1F0EA" w14:textId="77777777" w:rsidR="00D366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42603" w14:textId="77777777" w:rsidR="00D366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Théorie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3153D" w14:textId="77777777" w:rsidR="00D366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277F7" w14:textId="77777777" w:rsidR="00D366C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Expérimentation</w:t>
            </w:r>
          </w:p>
        </w:tc>
      </w:tr>
      <w:tr w:rsidR="00D366CA" w14:paraId="13C97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8E2D8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Déf. 1–7 + modèle DY-AGENT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31CF5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ACE73" w14:textId="77777777" w:rsidR="00D366CA" w:rsidRDefault="00D366CA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EFDC0" w14:textId="77777777" w:rsidR="00D366CA" w:rsidRDefault="00D366CA">
            <w:pPr>
              <w:jc w:val="center"/>
            </w:pPr>
          </w:p>
        </w:tc>
      </w:tr>
      <w:tr w:rsidR="00D366CA" w14:paraId="508C1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14B78" w14:textId="5EE74F5A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Conjecture 1</w:t>
            </w:r>
            <w:r w:rsidR="00FA0A1C">
              <w:rPr>
                <w:color w:val="000000"/>
                <w:sz w:val="20"/>
                <w:szCs w:val="20"/>
              </w:rPr>
              <w:t xml:space="preserve">,  </w:t>
            </w:r>
            <w:r>
              <w:rPr>
                <w:color w:val="000000"/>
                <w:sz w:val="20"/>
                <w:szCs w:val="20"/>
              </w:rPr>
              <w:t>bornes δ¹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916C2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D3FD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35DA2" w14:textId="77777777" w:rsidR="00D366CA" w:rsidRDefault="00D366CA">
            <w:pPr>
              <w:jc w:val="center"/>
            </w:pPr>
          </w:p>
        </w:tc>
      </w:tr>
      <w:tr w:rsidR="00D366CA" w14:paraId="48F5F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0BAD6" w14:textId="16CE19CA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Conjecture 2</w:t>
            </w:r>
            <w:r w:rsidR="00FA0A1C">
              <w:rPr>
                <w:color w:val="000000"/>
                <w:sz w:val="20"/>
                <w:szCs w:val="20"/>
              </w:rPr>
              <w:t xml:space="preserve">,  </w:t>
            </w:r>
            <w:r>
              <w:rPr>
                <w:color w:val="000000"/>
                <w:sz w:val="20"/>
                <w:szCs w:val="20"/>
              </w:rPr>
              <w:t>nécessité δ³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C5DBD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4E5C4" w14:textId="77777777" w:rsidR="00D366CA" w:rsidRDefault="00D366CA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F5C55" w14:textId="77777777" w:rsidR="00D366CA" w:rsidRDefault="00D366CA">
            <w:pPr>
              <w:jc w:val="center"/>
            </w:pPr>
          </w:p>
        </w:tc>
      </w:tr>
      <w:tr w:rsidR="00D366CA" w14:paraId="077EF7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83C86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Model checker DY-AGENT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690B5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A5A27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16150" w14:textId="77777777" w:rsidR="00D366CA" w:rsidRDefault="00D366CA">
            <w:pPr>
              <w:jc w:val="center"/>
            </w:pPr>
          </w:p>
        </w:tc>
      </w:tr>
      <w:tr w:rsidR="00D366CA" w14:paraId="6CD66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8A862" w14:textId="77777777" w:rsidR="00D366CA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Impl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M̃ + vérif. </w:t>
            </w:r>
            <w:proofErr w:type="spellStart"/>
            <w:r>
              <w:rPr>
                <w:color w:val="000000"/>
                <w:sz w:val="20"/>
                <w:szCs w:val="20"/>
              </w:rPr>
              <w:t>Reachable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⊆ </w:t>
            </w:r>
            <w:proofErr w:type="spellStart"/>
            <w:r>
              <w:rPr>
                <w:color w:val="000000"/>
                <w:sz w:val="20"/>
                <w:szCs w:val="20"/>
              </w:rPr>
              <w:t>Allowed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07858" w14:textId="77777777" w:rsidR="00D366CA" w:rsidRDefault="00D366CA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5790D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19A3B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</w:t>
            </w:r>
          </w:p>
        </w:tc>
      </w:tr>
      <w:tr w:rsidR="00D366CA" w14:paraId="77C487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5AE56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Validation </w:t>
            </w:r>
            <w:proofErr w:type="spellStart"/>
            <w:r>
              <w:rPr>
                <w:color w:val="000000"/>
                <w:sz w:val="20"/>
                <w:szCs w:val="20"/>
              </w:rPr>
              <w:t>OpenClaw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Robot Médical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E1480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544B3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94477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</w:tr>
      <w:tr w:rsidR="00D366CA" w14:paraId="4A6C8A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8BCB1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Benchmarking δ¹/δ²/δ³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BB309" w14:textId="77777777" w:rsidR="00D366CA" w:rsidRDefault="00D366CA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026DA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F5716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</w:tr>
      <w:tr w:rsidR="00D366CA" w14:paraId="68D2E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BBA0A" w14:textId="12987A52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DLI</w:t>
            </w:r>
            <w:r w:rsidR="00FA0A1C">
              <w:rPr>
                <w:color w:val="000000"/>
                <w:sz w:val="20"/>
                <w:szCs w:val="20"/>
              </w:rPr>
              <w:t xml:space="preserve">,  </w:t>
            </w:r>
            <w:r>
              <w:rPr>
                <w:color w:val="000000"/>
                <w:sz w:val="20"/>
                <w:szCs w:val="20"/>
              </w:rPr>
              <w:t>H-</w:t>
            </w:r>
            <w:proofErr w:type="spellStart"/>
            <w:r>
              <w:rPr>
                <w:color w:val="000000"/>
                <w:sz w:val="20"/>
                <w:szCs w:val="20"/>
              </w:rPr>
              <w:t>Neurons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(exploratoire)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CD930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4F22F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BD68E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</w:tr>
      <w:tr w:rsidR="00D366CA" w14:paraId="2518E7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3D564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Validation LIA-Scan (10k+ </w:t>
            </w:r>
            <w:proofErr w:type="spellStart"/>
            <w:r>
              <w:rPr>
                <w:color w:val="000000"/>
                <w:sz w:val="20"/>
                <w:szCs w:val="20"/>
              </w:rPr>
              <w:t>exec</w:t>
            </w:r>
            <w:proofErr w:type="spellEnd"/>
            <w:r>
              <w:rPr>
                <w:color w:val="000000"/>
                <w:sz w:val="20"/>
                <w:szCs w:val="20"/>
              </w:rPr>
              <w:t>.)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E549D" w14:textId="77777777" w:rsidR="00D366CA" w:rsidRDefault="00D366CA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0EB77" w14:textId="77777777" w:rsidR="00D366CA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62BBE" w14:textId="77777777" w:rsidR="00D366CA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●●●</w:t>
            </w:r>
          </w:p>
        </w:tc>
      </w:tr>
    </w:tbl>
    <w:p w14:paraId="4762AFB6" w14:textId="77777777" w:rsidR="00D366CA" w:rsidRDefault="00D366CA">
      <w:pPr>
        <w:spacing w:after="60"/>
      </w:pPr>
    </w:p>
    <w:p w14:paraId="2FFBA240" w14:textId="77777777" w:rsidR="00D366CA" w:rsidRDefault="00000000">
      <w:pPr>
        <w:spacing w:after="120"/>
        <w:jc w:val="center"/>
      </w:pPr>
      <w:r>
        <w:rPr>
          <w:i/>
          <w:iCs/>
        </w:rPr>
        <w:t>● dominant   ●● contribution significative   ●●● contribution principale</w:t>
      </w:r>
    </w:p>
    <w:p w14:paraId="638C2F83" w14:textId="77777777" w:rsidR="00D366CA" w:rsidRDefault="00D366CA">
      <w:pPr>
        <w:spacing w:after="100"/>
      </w:pPr>
    </w:p>
    <w:p w14:paraId="1407B29F" w14:textId="5B2F2D9D" w:rsidR="00D366CA" w:rsidRDefault="00000000">
      <w:pPr>
        <w:spacing w:after="120"/>
        <w:ind w:left="600"/>
        <w:jc w:val="both"/>
      </w:pPr>
      <w:r>
        <w:rPr>
          <w:i/>
          <w:iCs/>
        </w:rPr>
        <w:t xml:space="preserve">Note sur le model checker : le choix entre Tamarin, </w:t>
      </w:r>
      <w:proofErr w:type="spellStart"/>
      <w:r>
        <w:rPr>
          <w:i/>
          <w:iCs/>
        </w:rPr>
        <w:t>ProVerif</w:t>
      </w:r>
      <w:proofErr w:type="spellEnd"/>
      <w:r>
        <w:rPr>
          <w:i/>
          <w:iCs/>
        </w:rPr>
        <w:t xml:space="preserve"> et un vérificateur dédié sera tranché avec le directeur. Ni Tamarin ni </w:t>
      </w:r>
      <w:proofErr w:type="spellStart"/>
      <w:r>
        <w:rPr>
          <w:i/>
          <w:iCs/>
        </w:rPr>
        <w:t>ProVerif</w:t>
      </w:r>
      <w:proofErr w:type="spellEnd"/>
      <w:r>
        <w:rPr>
          <w:i/>
          <w:iCs/>
        </w:rPr>
        <w:t xml:space="preserve"> n'ont été conçus pour un oracle non déterministe invoquant des outils</w:t>
      </w:r>
      <w:r w:rsidR="00FA0A1C">
        <w:rPr>
          <w:i/>
          <w:iCs/>
        </w:rPr>
        <w:t xml:space="preserve">,  </w:t>
      </w:r>
      <w:r>
        <w:rPr>
          <w:i/>
          <w:iCs/>
        </w:rPr>
        <w:t>l'encodage est faisable mais potentiellement coûteux en espace d'états. Un vérificateur dédié serait plus adapté à DY-AGENT, au prix de la crédibilité d'un outil établi.</w:t>
      </w:r>
    </w:p>
    <w:p w14:paraId="065C452C" w14:textId="77777777" w:rsidR="00D366CA" w:rsidRDefault="00D366CA">
      <w:pPr>
        <w:spacing w:after="200"/>
      </w:pPr>
    </w:p>
    <w:p w14:paraId="1CD6606F" w14:textId="77777777" w:rsidR="00D366CA" w:rsidRDefault="00000000">
      <w:pPr>
        <w:pStyle w:val="Titre1"/>
      </w:pPr>
      <w:r>
        <w:t>Profil du candidat et terrain de validation</w:t>
      </w:r>
    </w:p>
    <w:p w14:paraId="673E45AF" w14:textId="77777777" w:rsidR="00D366CA" w:rsidRDefault="00000000">
      <w:pPr>
        <w:spacing w:after="120"/>
        <w:jc w:val="both"/>
      </w:pPr>
      <w:r>
        <w:t xml:space="preserve">Le candidat est ingénieur en poste à l'ANSSI depuis 2014, CISSP, titulaire d'un </w:t>
      </w:r>
      <w:proofErr w:type="spellStart"/>
      <w:r>
        <w:t>M.Sc</w:t>
      </w:r>
      <w:proofErr w:type="spellEnd"/>
      <w:r>
        <w:t>. en Intelligence Économique et Cybersécurité (Sorbonne). Trois expériences CISO. Deux plateformes en production :</w:t>
      </w:r>
    </w:p>
    <w:p w14:paraId="5B042FBA" w14:textId="600D73D5" w:rsidR="00D366CA" w:rsidRDefault="00000000">
      <w:pPr>
        <w:spacing w:before="40" w:after="60"/>
        <w:ind w:left="720" w:hanging="360"/>
      </w:pPr>
      <w:r>
        <w:rPr>
          <w:b/>
          <w:bCs/>
        </w:rPr>
        <w:t>— LIA-Scan</w:t>
      </w:r>
      <w:r w:rsidR="00FA0A1C">
        <w:t xml:space="preserve">,  </w:t>
      </w:r>
      <w:r>
        <w:t>pipeline agentique d'audit de sécurité (200+ technologies, CVE, conformité ANSSI/DORA/NIS2). Terrain de validation principal : 10 000+ exécutions réelles sous contraintes réglementaires.</w:t>
      </w:r>
    </w:p>
    <w:p w14:paraId="4AA7D4A7" w14:textId="4A4895C0" w:rsidR="00D366CA" w:rsidRDefault="00000000">
      <w:pPr>
        <w:spacing w:before="40" w:after="60"/>
        <w:ind w:left="720" w:hanging="360"/>
      </w:pPr>
      <w:r>
        <w:rPr>
          <w:b/>
          <w:bCs/>
        </w:rPr>
        <w:t>— LLM Robot Médical</w:t>
      </w:r>
      <w:r>
        <w:t xml:space="preserve"> (Sorbonne, 2025–2026)</w:t>
      </w:r>
      <w:r w:rsidR="00FA0A1C">
        <w:t xml:space="preserve">,  </w:t>
      </w:r>
      <w:r>
        <w:t>jailbreak d'un LLM connecté à un robot chirurgical Da Vinci. Extension naturelle du modèle au cas où l'environnement E contient un actuateur physique.</w:t>
      </w:r>
    </w:p>
    <w:p w14:paraId="2395DB98" w14:textId="3A72B72F" w:rsidR="00D366CA" w:rsidRDefault="00000000">
      <w:pPr>
        <w:spacing w:before="40" w:after="60"/>
        <w:ind w:left="720" w:hanging="360"/>
      </w:pPr>
      <w:r>
        <w:rPr>
          <w:b/>
          <w:bCs/>
        </w:rPr>
        <w:t xml:space="preserve">— Opération </w:t>
      </w:r>
      <w:proofErr w:type="spellStart"/>
      <w:r>
        <w:rPr>
          <w:b/>
          <w:bCs/>
        </w:rPr>
        <w:t>OpenClaw</w:t>
      </w:r>
      <w:proofErr w:type="spellEnd"/>
      <w:r>
        <w:t xml:space="preserve"> (Sorbonne, 2025, 140+ p.)</w:t>
      </w:r>
      <w:r w:rsidR="00FA0A1C">
        <w:t xml:space="preserve">,  </w:t>
      </w:r>
      <w:proofErr w:type="spellStart"/>
      <w:r>
        <w:t>kill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5 phases d'un agent IA malveillant. Chaque phase sera formalisée comme une transition dans DY-AGENT.</w:t>
      </w:r>
    </w:p>
    <w:p w14:paraId="4716104A" w14:textId="77777777" w:rsidR="00D366CA" w:rsidRDefault="00000000">
      <w:pPr>
        <w:spacing w:after="120"/>
        <w:jc w:val="both"/>
      </w:pPr>
      <w:r>
        <w:t>Inscription envisagée en formation continue, sans contrat doctoral ni bourse. Besoins : droits d'inscription (≈ 400 €/an), budget conférences, accès ressources ISG/ENS.</w:t>
      </w:r>
    </w:p>
    <w:p w14:paraId="347BB7F5" w14:textId="77777777" w:rsidR="00D366CA" w:rsidRDefault="00D366CA">
      <w:pPr>
        <w:spacing w:after="60"/>
      </w:pPr>
    </w:p>
    <w:p w14:paraId="094CFA03" w14:textId="77777777" w:rsidR="00D366CA" w:rsidRDefault="00000000">
      <w:pPr>
        <w:spacing w:after="120"/>
        <w:jc w:val="both"/>
      </w:pPr>
      <w:r>
        <w:t xml:space="preserve">L'adéquation avec l'ISG est directe : DY-AGENT est une adaptation du modèle </w:t>
      </w:r>
      <w:proofErr w:type="spellStart"/>
      <w:r>
        <w:t>Dolev</w:t>
      </w:r>
      <w:proofErr w:type="spellEnd"/>
      <w:r>
        <w:t>-Yao, référence centrale en vérification de protocoles. Le candidat apporte le matériel empirique et le terrain de validation ; l'ISG apporte le formalisme et la rigueur.</w:t>
      </w:r>
    </w:p>
    <w:sectPr w:rsidR="00D366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93B6D"/>
    <w:multiLevelType w:val="hybridMultilevel"/>
    <w:tmpl w:val="12242E70"/>
    <w:lvl w:ilvl="0" w:tplc="FDAE958E">
      <w:start w:val="1"/>
      <w:numFmt w:val="bullet"/>
      <w:lvlText w:val="●"/>
      <w:lvlJc w:val="left"/>
      <w:pPr>
        <w:ind w:left="720" w:hanging="360"/>
      </w:pPr>
    </w:lvl>
    <w:lvl w:ilvl="1" w:tplc="CC40677E">
      <w:start w:val="1"/>
      <w:numFmt w:val="bullet"/>
      <w:lvlText w:val="○"/>
      <w:lvlJc w:val="left"/>
      <w:pPr>
        <w:ind w:left="1440" w:hanging="360"/>
      </w:pPr>
    </w:lvl>
    <w:lvl w:ilvl="2" w:tplc="E4566A00">
      <w:start w:val="1"/>
      <w:numFmt w:val="bullet"/>
      <w:lvlText w:val="■"/>
      <w:lvlJc w:val="left"/>
      <w:pPr>
        <w:ind w:left="2160" w:hanging="360"/>
      </w:pPr>
    </w:lvl>
    <w:lvl w:ilvl="3" w:tplc="194E13FC">
      <w:start w:val="1"/>
      <w:numFmt w:val="bullet"/>
      <w:lvlText w:val="●"/>
      <w:lvlJc w:val="left"/>
      <w:pPr>
        <w:ind w:left="2880" w:hanging="360"/>
      </w:pPr>
    </w:lvl>
    <w:lvl w:ilvl="4" w:tplc="F20C742E">
      <w:start w:val="1"/>
      <w:numFmt w:val="bullet"/>
      <w:lvlText w:val="○"/>
      <w:lvlJc w:val="left"/>
      <w:pPr>
        <w:ind w:left="3600" w:hanging="360"/>
      </w:pPr>
    </w:lvl>
    <w:lvl w:ilvl="5" w:tplc="66902D08">
      <w:start w:val="1"/>
      <w:numFmt w:val="bullet"/>
      <w:lvlText w:val="■"/>
      <w:lvlJc w:val="left"/>
      <w:pPr>
        <w:ind w:left="4320" w:hanging="360"/>
      </w:pPr>
    </w:lvl>
    <w:lvl w:ilvl="6" w:tplc="DC7CFB2E">
      <w:start w:val="1"/>
      <w:numFmt w:val="bullet"/>
      <w:lvlText w:val="●"/>
      <w:lvlJc w:val="left"/>
      <w:pPr>
        <w:ind w:left="5040" w:hanging="360"/>
      </w:pPr>
    </w:lvl>
    <w:lvl w:ilvl="7" w:tplc="DE32B4FE">
      <w:start w:val="1"/>
      <w:numFmt w:val="bullet"/>
      <w:lvlText w:val="●"/>
      <w:lvlJc w:val="left"/>
      <w:pPr>
        <w:ind w:left="5760" w:hanging="360"/>
      </w:pPr>
    </w:lvl>
    <w:lvl w:ilvl="8" w:tplc="E3609DAE">
      <w:start w:val="1"/>
      <w:numFmt w:val="bullet"/>
      <w:lvlText w:val="●"/>
      <w:lvlJc w:val="left"/>
      <w:pPr>
        <w:ind w:left="6480" w:hanging="360"/>
      </w:pPr>
    </w:lvl>
  </w:abstractNum>
  <w:num w:numId="1" w16cid:durableId="82653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6CA"/>
    <w:rsid w:val="00C135D6"/>
    <w:rsid w:val="00D366CA"/>
    <w:rsid w:val="00FA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A690"/>
  <w15:docId w15:val="{806852B9-2119-40FD-962A-225BCC1D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1F3864"/>
      </w:pBdr>
      <w:spacing w:before="300" w:after="120"/>
      <w:outlineLvl w:val="0"/>
    </w:pPr>
    <w:rPr>
      <w:b/>
      <w:bCs/>
      <w:caps/>
      <w:sz w:val="26"/>
      <w:szCs w:val="26"/>
    </w:rPr>
  </w:style>
  <w:style w:type="paragraph" w:styleId="Titre2">
    <w:name w:val="heading 2"/>
    <w:uiPriority w:val="9"/>
    <w:unhideWhenUsed/>
    <w:qFormat/>
    <w:pPr>
      <w:spacing w:before="200" w:after="80"/>
      <w:outlineLvl w:val="1"/>
    </w:pPr>
    <w:rPr>
      <w:b/>
      <w:bCs/>
      <w:sz w:val="23"/>
      <w:szCs w:val="23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1098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fabrice pizzi</cp:lastModifiedBy>
  <cp:revision>2</cp:revision>
  <dcterms:created xsi:type="dcterms:W3CDTF">2026-03-24T22:49:00Z</dcterms:created>
  <dcterms:modified xsi:type="dcterms:W3CDTF">2026-03-24T23:06:00Z</dcterms:modified>
</cp:coreProperties>
</file>