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rPr>
        <w:t xml:space="preserve">2.6 Taxonomie des attaques sur les systèmes d’IA par cycle de vie</w:t>
      </w:r>
    </w:p>
    <w:p>
      <w:pPr>
        <w:spacing w:after="120" w:before="0"/>
      </w:pPr>
      <w:r>
        <w:rPr>
          <w:rFonts w:ascii="Arial" w:cs="Arial" w:eastAsia="Arial" w:hAnsi="Arial"/>
          <w:sz w:val="22"/>
          <w:szCs w:val="22"/>
        </w:rPr>
        <w:t xml:space="preserve">Le chapitre 2 de ce cours décrit l’IA offensive sous l’angle de la Kill Chain, c’est-à-dire la perspective de l’attaquant : comment il reconnaît, arme, livre, exploite et agit. Cette approche est essentielle mais incomplète : elle ne répond pas à la question fondamentale du défenseur — « à quelle étape du cycle de vie de mon système d’IA dois-je protéger quoi ? »</w:t>
      </w:r>
    </w:p>
    <w:p>
      <w:pPr>
        <w:spacing w:after="120" w:before="0"/>
      </w:pPr>
      <w:r>
        <w:rPr>
          <w:rFonts w:ascii="Arial" w:cs="Arial" w:eastAsia="Arial" w:hAnsi="Arial"/>
          <w:sz w:val="22"/>
          <w:szCs w:val="22"/>
        </w:rPr>
        <w:t xml:space="preserve">Le présent chapitre introduit une classification complémentaire des attaques, organisée selon le cycle de vie d’un système d’IA (SIA). Cette approche est celle retenue par les principaux référentiels internationaux et permet de mapper chaque attaque à la phase où elle se produit, facilitant ainsi l’identification des mesures de protection adéquates.</w:t>
      </w:r>
    </w:p>
    <w:p>
      <w:pPr>
        <w:pBdr>
          <w:left w:val="single" w:color="2E75B6" w:sz="12" w:space="8"/>
        </w:pBdr>
        <w:spacing w:before="160" w:after="160"/>
        <w:ind w:left="200"/>
      </w:pPr>
      <w:r>
        <w:rPr>
          <w:rFonts w:ascii="Arial" w:cs="Arial" w:eastAsia="Arial" w:hAnsi="Arial"/>
          <w:b/>
          <w:bCs/>
          <w:color w:val="2E75B6"/>
          <w:sz w:val="20"/>
          <w:szCs w:val="20"/>
        </w:rPr>
        <w:t xml:space="preserve">🔑 Complémentarité Kill Chain / Cycle de vie : </w:t>
      </w:r>
      <w:r>
        <w:rPr>
          <w:rFonts w:ascii="Arial" w:cs="Arial" w:eastAsia="Arial" w:hAnsi="Arial"/>
          <w:sz w:val="20"/>
          <w:szCs w:val="20"/>
        </w:rPr>
        <w:t xml:space="preserve">La Kill Chain modélise le « comment » de l’attaquant (sa méthodologie d’attaque). Le cycle de vie modélise le « où » du défenseur (quelle phase du SIA est visée). Un empoisonnement de données, par exemple, relève de la phase « Armement » dans la Kill Chain mais cible la phase B « Collecte de données » dans le cycle de vie. Les deux vues sont nécessaires pour une défense complète.</w:t>
      </w:r>
    </w:p>
    <w:p>
      <w:pPr>
        <w:pStyle w:val="Heading2"/>
      </w:pPr>
      <w:r>
        <w:rPr>
          <w:rFonts w:ascii="Arial" w:cs="Arial" w:eastAsia="Arial" w:hAnsi="Arial"/>
        </w:rPr>
        <w:t xml:space="preserve">2.6.1 Le cycle de vie d’un système d’IA selon l’OCDE</w:t>
      </w:r>
    </w:p>
    <w:p>
      <w:pPr>
        <w:spacing w:after="120" w:before="0"/>
      </w:pPr>
      <w:r>
        <w:rPr>
          <w:rFonts w:ascii="Arial" w:cs="Arial" w:eastAsia="Arial" w:hAnsi="Arial"/>
          <w:sz w:val="22"/>
          <w:szCs w:val="22"/>
        </w:rPr>
        <w:t xml:space="preserve">L’OCDE a défini en 2019, dans sa Recommandation sur l’Intelligence Artificielle (adoptée par 46 pays et mise à jour en mai 2024), un cycle de vie de référence pour les systèmes d’IA. Ce cycle est désormais repris par l’AI Act européen, le NIST AI RMF, et les recommandations de l’ANSSI. L’étude du GT Sécurité de l’IA du Campus Cyber (février 2026) l’a retenu comme cadre de classification après comparaison avec les modèles ISO, ANSSI et ENISA, en y ajoutant une septième phase de décommissionnement.</w:t>
      </w:r>
    </w:p>
    <w:p>
      <w:pPr>
        <w:spacing w:after="80" w:before="0"/>
      </w:pPr>
      <w:r>
        <w:rPr>
          <w:rFonts w:ascii="Arial" w:cs="Arial" w:eastAsia="Arial" w:hAnsi="Arial"/>
          <w:sz w:val="22"/>
          <w:szCs w:val="22"/>
        </w:rPr>
        <w:t xml:space="preserve">Les 7 phases sont les suivantes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1800"/>
        <w:gridCol w:w="6826"/>
      </w:tblGrid>
      <w:tr>
        <w:tc>
          <w:tcPr>
            <w:tcW w:type="dxa" w:w="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Phase</w:t>
            </w:r>
          </w:p>
        </w:tc>
        <w:tc>
          <w:tcPr>
            <w:tcW w:type="dxa" w:w="68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Description et enjeux de sécurité</w:t>
            </w:r>
          </w:p>
        </w:tc>
      </w:tr>
      <w:tr>
        <w:tc>
          <w:tcPr>
            <w:tcW w:type="dxa" w:w="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30"/>
            </w:pPr>
            <w:r>
              <w:rPr>
                <w:rFonts w:ascii="Arial" w:cs="Arial" w:eastAsia="Arial" w:hAnsi="Arial"/>
                <w:b/>
                <w:bCs/>
                <w:color w:val="FFFFFF"/>
                <w:sz w:val="18"/>
                <w:szCs w:val="18"/>
              </w:rPr>
              <w:t xml:space="preserve">A</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30"/>
            </w:pPr>
            <w:r>
              <w:rPr>
                <w:rFonts w:ascii="Arial" w:cs="Arial" w:eastAsia="Arial" w:hAnsi="Arial"/>
                <w:b/>
                <w:bCs/>
                <w:sz w:val="18"/>
                <w:szCs w:val="18"/>
              </w:rPr>
              <w:t xml:space="preserve">Planification et conception</w:t>
            </w:r>
          </w:p>
        </w:tc>
        <w:tc>
          <w:tcPr>
            <w:tcW w:type="dxa" w:w="68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18"/>
                <w:szCs w:val="18"/>
              </w:rPr>
              <w:t xml:space="preserve">Définition des objectifs, choix du type de modèle, spécifications fonctionnelles et de sécurité. Les décisions architecturales prises ici déterminent la surface d’attaque future. Acteurs clés : data scientists, architectes, RSSI.</w:t>
            </w:r>
          </w:p>
        </w:tc>
      </w:tr>
      <w:tr>
        <w:tc>
          <w:tcPr>
            <w:tcW w:type="dxa" w:w="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30"/>
            </w:pPr>
            <w:r>
              <w:rPr>
                <w:rFonts w:ascii="Arial" w:cs="Arial" w:eastAsia="Arial" w:hAnsi="Arial"/>
                <w:b/>
                <w:bCs/>
                <w:color w:val="FFFFFF"/>
                <w:sz w:val="18"/>
                <w:szCs w:val="18"/>
              </w:rPr>
              <w:t xml:space="preserve">B</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30"/>
            </w:pPr>
            <w:r>
              <w:rPr>
                <w:rFonts w:ascii="Arial" w:cs="Arial" w:eastAsia="Arial" w:hAnsi="Arial"/>
                <w:b/>
                <w:bCs/>
                <w:sz w:val="18"/>
                <w:szCs w:val="18"/>
              </w:rPr>
              <w:t xml:space="preserve">Collecte et traitement des données</w:t>
            </w:r>
          </w:p>
        </w:tc>
        <w:tc>
          <w:tcPr>
            <w:tcW w:type="dxa" w:w="68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18"/>
                <w:szCs w:val="18"/>
              </w:rPr>
              <w:t xml:space="preserve">Rassemblement, nettoyage, labellisation et augmentation des données d’entraînement. Phase critique pour les attaques d’empoisonnement (poisoning). La qualité et l’intégrité des données conditionnent la fiabilité du modèle.</w:t>
            </w:r>
          </w:p>
        </w:tc>
      </w:tr>
      <w:tr>
        <w:tc>
          <w:tcPr>
            <w:tcW w:type="dxa" w:w="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30"/>
            </w:pPr>
            <w:r>
              <w:rPr>
                <w:rFonts w:ascii="Arial" w:cs="Arial" w:eastAsia="Arial" w:hAnsi="Arial"/>
                <w:b/>
                <w:bCs/>
                <w:color w:val="FFFFFF"/>
                <w:sz w:val="18"/>
                <w:szCs w:val="18"/>
              </w:rPr>
              <w:t xml:space="preserve">C</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30"/>
            </w:pPr>
            <w:r>
              <w:rPr>
                <w:rFonts w:ascii="Arial" w:cs="Arial" w:eastAsia="Arial" w:hAnsi="Arial"/>
                <w:b/>
                <w:bCs/>
                <w:sz w:val="18"/>
                <w:szCs w:val="18"/>
              </w:rPr>
              <w:t xml:space="preserve">Construction du modèle</w:t>
            </w:r>
          </w:p>
        </w:tc>
        <w:tc>
          <w:tcPr>
            <w:tcW w:type="dxa" w:w="68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18"/>
                <w:szCs w:val="18"/>
              </w:rPr>
              <w:t xml:space="preserve">Entraînement, fine-tuning, sélection d’hyperparamtres. Le modèle peut être construit from scratch ou adapté depuis un modèle pré-entraîné (transfer learning). Risques : backdoors dans les poids, injection de code dans les pipelines MLOps.</w:t>
            </w:r>
          </w:p>
        </w:tc>
      </w:tr>
      <w:tr>
        <w:tc>
          <w:tcPr>
            <w:tcW w:type="dxa" w:w="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30"/>
            </w:pPr>
            <w:r>
              <w:rPr>
                <w:rFonts w:ascii="Arial" w:cs="Arial" w:eastAsia="Arial" w:hAnsi="Arial"/>
                <w:b/>
                <w:bCs/>
                <w:color w:val="FFFFFF"/>
                <w:sz w:val="18"/>
                <w:szCs w:val="18"/>
              </w:rPr>
              <w:t xml:space="preserve">D</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30"/>
            </w:pPr>
            <w:r>
              <w:rPr>
                <w:rFonts w:ascii="Arial" w:cs="Arial" w:eastAsia="Arial" w:hAnsi="Arial"/>
                <w:b/>
                <w:bCs/>
                <w:sz w:val="18"/>
                <w:szCs w:val="18"/>
              </w:rPr>
              <w:t xml:space="preserve">Test, évaluation, vérification</w:t>
            </w:r>
          </w:p>
        </w:tc>
        <w:tc>
          <w:tcPr>
            <w:tcW w:type="dxa" w:w="68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18"/>
                <w:szCs w:val="18"/>
              </w:rPr>
              <w:t xml:space="preserve">Validation des performances, tests de robustesse, vérification de conformité. Un attaquant qui manipule les métriques de test peut masquer un modèle empoisonné.</w:t>
            </w:r>
          </w:p>
        </w:tc>
      </w:tr>
      <w:tr>
        <w:tc>
          <w:tcPr>
            <w:tcW w:type="dxa" w:w="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30"/>
            </w:pPr>
            <w:r>
              <w:rPr>
                <w:rFonts w:ascii="Arial" w:cs="Arial" w:eastAsia="Arial" w:hAnsi="Arial"/>
                <w:b/>
                <w:bCs/>
                <w:color w:val="FFFFFF"/>
                <w:sz w:val="18"/>
                <w:szCs w:val="18"/>
              </w:rPr>
              <w:t xml:space="preserve">E</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30"/>
            </w:pPr>
            <w:r>
              <w:rPr>
                <w:rFonts w:ascii="Arial" w:cs="Arial" w:eastAsia="Arial" w:hAnsi="Arial"/>
                <w:b/>
                <w:bCs/>
                <w:sz w:val="18"/>
                <w:szCs w:val="18"/>
              </w:rPr>
              <w:t xml:space="preserve">Déploiement</w:t>
            </w:r>
          </w:p>
        </w:tc>
        <w:tc>
          <w:tcPr>
            <w:tcW w:type="dxa" w:w="68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18"/>
                <w:szCs w:val="18"/>
              </w:rPr>
              <w:t xml:space="preserve">Mise en production du modèle dans son environnement opérationnel (cloud, on-premise, edge). Risques : substitution de modèle, compromission de l’environnement d’exécution, escalade de privilèges dans les systèmes multi-agents.</w:t>
            </w:r>
          </w:p>
        </w:tc>
      </w:tr>
      <w:tr>
        <w:tc>
          <w:tcPr>
            <w:tcW w:type="dxa" w:w="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30"/>
            </w:pPr>
            <w:r>
              <w:rPr>
                <w:rFonts w:ascii="Arial" w:cs="Arial" w:eastAsia="Arial" w:hAnsi="Arial"/>
                <w:b/>
                <w:bCs/>
                <w:color w:val="FFFFFF"/>
                <w:sz w:val="18"/>
                <w:szCs w:val="18"/>
              </w:rPr>
              <w:t xml:space="preserve">F</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30"/>
            </w:pPr>
            <w:r>
              <w:rPr>
                <w:rFonts w:ascii="Arial" w:cs="Arial" w:eastAsia="Arial" w:hAnsi="Arial"/>
                <w:b/>
                <w:bCs/>
                <w:sz w:val="18"/>
                <w:szCs w:val="18"/>
              </w:rPr>
              <w:t xml:space="preserve">Exploitation et maintenance</w:t>
            </w:r>
          </w:p>
        </w:tc>
        <w:tc>
          <w:tcPr>
            <w:tcW w:type="dxa" w:w="68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18"/>
                <w:szCs w:val="18"/>
              </w:rPr>
              <w:t xml:space="preserve">Phase la plus longue et la plus exposée. Le modèle reçoit des requêtes utilisateurs, interagit avec des données externes (RAG), et peut être connecté à des outils (MCP). Concentration des attaques : prompt injection, exemples adversariels, exfiltration, abus, DoS.</w:t>
            </w:r>
          </w:p>
        </w:tc>
      </w:tr>
      <w:tr>
        <w:tc>
          <w:tcPr>
            <w:tcW w:type="dxa" w:w="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30"/>
            </w:pPr>
            <w:r>
              <w:rPr>
                <w:rFonts w:ascii="Arial" w:cs="Arial" w:eastAsia="Arial" w:hAnsi="Arial"/>
                <w:b/>
                <w:bCs/>
                <w:color w:val="FFFFFF"/>
                <w:sz w:val="18"/>
                <w:szCs w:val="18"/>
              </w:rPr>
              <w:t xml:space="preserve">G</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30"/>
            </w:pPr>
            <w:r>
              <w:rPr>
                <w:rFonts w:ascii="Arial" w:cs="Arial" w:eastAsia="Arial" w:hAnsi="Arial"/>
                <w:b/>
                <w:bCs/>
                <w:sz w:val="18"/>
                <w:szCs w:val="18"/>
              </w:rPr>
              <w:t xml:space="preserve">Décommissionnement</w:t>
            </w:r>
          </w:p>
        </w:tc>
        <w:tc>
          <w:tcPr>
            <w:tcW w:type="dxa" w:w="68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18"/>
                <w:szCs w:val="18"/>
              </w:rPr>
              <w:t xml:space="preserve">Retrait du modèle et destruction des données. Risques souvent négligés : persistance de données sensibles dans les caches, réutilisation non contrôlée d’un modèle retiré, fuites de propriété intellectuelle.</w:t>
            </w:r>
          </w:p>
        </w:tc>
      </w:tr>
    </w:tbl>
    <w:p>
      <w:pPr>
        <w:pBdr>
          <w:left w:val="single" w:color="2E75B6" w:sz="12" w:space="8"/>
        </w:pBdr>
        <w:spacing w:before="160" w:after="160"/>
        <w:ind w:left="200"/>
      </w:pPr>
      <w:r>
        <w:rPr>
          <w:rFonts w:ascii="Arial" w:cs="Arial" w:eastAsia="Arial" w:hAnsi="Arial"/>
          <w:b/>
          <w:bCs/>
          <w:color w:val="2E75B6"/>
          <w:sz w:val="20"/>
          <w:szCs w:val="20"/>
        </w:rPr>
        <w:t xml:space="preserve">⚠️ Point clé : </w:t>
      </w:r>
      <w:r>
        <w:rPr>
          <w:rFonts w:ascii="Arial" w:cs="Arial" w:eastAsia="Arial" w:hAnsi="Arial"/>
          <w:sz w:val="20"/>
          <w:szCs w:val="20"/>
        </w:rPr>
        <w:t xml:space="preserve">Ces phases ne sont pas nécessairement séquentielles. L’entraînement continu (continuous learning), le fine-tuning régulier et les pipelines MLOps créent des boucles itératives entre les phases B, C, D et F. Chaque itération réouvre la surface d’attaque.</w:t>
      </w:r>
    </w:p>
    <w:p>
      <w:pPr>
        <w:pStyle w:val="Heading2"/>
      </w:pPr>
      <w:r>
        <w:rPr>
          <w:rFonts w:ascii="Arial" w:cs="Arial" w:eastAsia="Arial" w:hAnsi="Arial"/>
        </w:rPr>
        <w:t xml:space="preserve">2.6.2 Les quatre référentiels internationaux d’attaques sur l’IA</w:t>
      </w:r>
    </w:p>
    <w:p>
      <w:pPr>
        <w:spacing w:after="120" w:before="0"/>
      </w:pPr>
      <w:r>
        <w:rPr>
          <w:rFonts w:ascii="Arial" w:cs="Arial" w:eastAsia="Arial" w:hAnsi="Arial"/>
          <w:sz w:val="22"/>
          <w:szCs w:val="22"/>
        </w:rPr>
        <w:t xml:space="preserve">Quatre référentiels majeurs documentent les attaques sur les SIA. Ils sont complémentaires et couvrent des angles différents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2800"/>
        <w:gridCol w:w="1800"/>
        <w:gridCol w:w="1626"/>
      </w:tblGrid>
      <w:tr>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Référentiel</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Version</w:t>
            </w:r>
          </w:p>
        </w:tc>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Focus principal</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Structure</w:t>
            </w:r>
          </w:p>
        </w:tc>
        <w:tc>
          <w:tcPr>
            <w:tcW w:type="dxa" w:w="16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Couverture</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30"/>
            </w:pPr>
            <w:r>
              <w:rPr>
                <w:rFonts w:ascii="Arial" w:cs="Arial" w:eastAsia="Arial" w:hAnsi="Arial"/>
                <w:b/>
                <w:bCs/>
                <w:sz w:val="17"/>
                <w:szCs w:val="17"/>
              </w:rPr>
              <w:t xml:space="preserve">NIST AI 100-2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16"/>
                <w:szCs w:val="16"/>
              </w:rPr>
              <w:t xml:space="preserve">E2025 (mars 2025)</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16"/>
                <w:szCs w:val="16"/>
              </w:rPr>
              <w:t xml:space="preserve">Taxonomie académique complète des attaques AML. Sépare PredAI et GenAI. Inclut évasion, empoisonnement, vie privée, abus.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i/>
                <w:iCs/>
                <w:sz w:val="16"/>
                <w:szCs w:val="16"/>
              </w:rPr>
              <w:t xml:space="preserve">Par objectif attaquant → capacités → classes d’attaque</w:t>
            </w:r>
          </w:p>
        </w:tc>
        <w:tc>
          <w:tcPr>
            <w:tcW w:type="dxa" w:w="16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16"/>
                <w:szCs w:val="16"/>
              </w:rPr>
              <w:t xml:space="preserve">IA prédictive + générative + agents</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30"/>
            </w:pPr>
            <w:r>
              <w:rPr>
                <w:rFonts w:ascii="Arial" w:cs="Arial" w:eastAsia="Arial" w:hAnsi="Arial"/>
                <w:b/>
                <w:bCs/>
                <w:sz w:val="17"/>
                <w:szCs w:val="17"/>
              </w:rPr>
              <w:t xml:space="preserve">MITRE ATLAS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16"/>
                <w:szCs w:val="16"/>
              </w:rPr>
              <w:t xml:space="preserve">v4.x (oct. 2025)</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16"/>
                <w:szCs w:val="16"/>
              </w:rPr>
              <w:t xml:space="preserve">Base de connaissances opérationnelle des TTPs. 15 tactiques, 66 techniques, 46 sous-techniques. 33 études de cas réels.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i/>
                <w:iCs/>
                <w:sz w:val="16"/>
                <w:szCs w:val="16"/>
              </w:rPr>
              <w:t xml:space="preserve">Matrice tactiques/ techniques (style ATT&amp;CK)</w:t>
            </w:r>
          </w:p>
        </w:tc>
        <w:tc>
          <w:tcPr>
            <w:tcW w:type="dxa" w:w="16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16"/>
                <w:szCs w:val="16"/>
              </w:rPr>
              <w:t xml:space="preserve">Tout type de SIA + agents IA (14 techniques ajoutées en 2025)</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30"/>
            </w:pPr>
            <w:r>
              <w:rPr>
                <w:rFonts w:ascii="Arial" w:cs="Arial" w:eastAsia="Arial" w:hAnsi="Arial"/>
                <w:b/>
                <w:bCs/>
                <w:sz w:val="17"/>
                <w:szCs w:val="17"/>
              </w:rPr>
              <w:t xml:space="preserve">OWASP Top 10 LLM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16"/>
                <w:szCs w:val="16"/>
              </w:rPr>
              <w:t xml:space="preserve">v2.0 (2025)</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16"/>
                <w:szCs w:val="16"/>
              </w:rPr>
              <w:t xml:space="preserve">Les 10 risques les plus critiques pour les LLM : prompt injection, poisoning, supply chain, excessive agency, etc.</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i/>
                <w:iCs/>
                <w:sz w:val="16"/>
                <w:szCs w:val="16"/>
              </w:rPr>
              <w:t xml:space="preserve">Top 10 par criticité</w:t>
            </w:r>
          </w:p>
        </w:tc>
        <w:tc>
          <w:tcPr>
            <w:tcW w:type="dxa" w:w="16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16"/>
                <w:szCs w:val="16"/>
              </w:rPr>
              <w:t xml:space="preserve">LLM spécifiquement</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30"/>
            </w:pPr>
            <w:r>
              <w:rPr>
                <w:rFonts w:ascii="Arial" w:cs="Arial" w:eastAsia="Arial" w:hAnsi="Arial"/>
                <w:b/>
                <w:bCs/>
                <w:sz w:val="17"/>
                <w:szCs w:val="17"/>
              </w:rPr>
              <w:t xml:space="preserve">OWASP Top 10 ML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16"/>
                <w:szCs w:val="16"/>
              </w:rPr>
              <w:t xml:space="preserve">v1.0 (2023)</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16"/>
                <w:szCs w:val="16"/>
              </w:rPr>
              <w:t xml:space="preserve">Les 10 risques pour le ML classique : adversarial attacks, data poisoning, model inversion, membership inference.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i/>
                <w:iCs/>
                <w:sz w:val="16"/>
                <w:szCs w:val="16"/>
              </w:rPr>
              <w:t xml:space="preserve">Top 10 par criticité</w:t>
            </w:r>
          </w:p>
        </w:tc>
        <w:tc>
          <w:tcPr>
            <w:tcW w:type="dxa" w:w="16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16"/>
                <w:szCs w:val="16"/>
              </w:rPr>
              <w:t xml:space="preserve">ML prédictif</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30"/>
            </w:pPr>
            <w:r>
              <w:rPr>
                <w:rFonts w:ascii="Arial" w:cs="Arial" w:eastAsia="Arial" w:hAnsi="Arial"/>
                <w:b/>
                <w:bCs/>
                <w:sz w:val="17"/>
                <w:szCs w:val="17"/>
              </w:rPr>
              <w:t xml:space="preserve">ANSSI</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16"/>
                <w:szCs w:val="16"/>
              </w:rPr>
              <w:t xml:space="preserve">Avril 2024 + fév. 2026</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16"/>
                <w:szCs w:val="16"/>
              </w:rPr>
              <w:t xml:space="preserve">35 recommandations de sécurité pour les SIA génératifs, par phase (entraînement, déploiement, production, code, grand public).</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i/>
                <w:iCs/>
                <w:sz w:val="16"/>
                <w:szCs w:val="16"/>
              </w:rPr>
              <w:t xml:space="preserve">Recommandations par phase</w:t>
            </w:r>
          </w:p>
        </w:tc>
        <w:tc>
          <w:tcPr>
            <w:tcW w:type="dxa" w:w="16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16"/>
                <w:szCs w:val="16"/>
              </w:rPr>
              <w:t xml:space="preserve">IA générative en contexte français</w:t>
            </w:r>
          </w:p>
        </w:tc>
      </w:tr>
    </w:tbl>
    <w:p>
      <w:pPr>
        <w:spacing w:after="120" w:before="0"/>
      </w:pPr>
      <w:r>
        <w:rPr>
          <w:rFonts w:ascii="Arial" w:cs="Arial" w:eastAsia="Arial" w:hAnsi="Arial"/>
          <w:sz w:val="22"/>
          <w:szCs w:val="22"/>
        </w:rPr>
        <w:t xml:space="preserve"/>
      </w:r>
    </w:p>
    <w:p>
      <w:pPr>
        <w:pBdr>
          <w:left w:val="single" w:color="2E75B6" w:sz="12" w:space="8"/>
        </w:pBdr>
        <w:spacing w:before="160" w:after="160"/>
        <w:ind w:left="200"/>
      </w:pPr>
      <w:r>
        <w:rPr>
          <w:rFonts w:ascii="Arial" w:cs="Arial" w:eastAsia="Arial" w:hAnsi="Arial"/>
          <w:b/>
          <w:bCs/>
          <w:color w:val="2E75B6"/>
          <w:sz w:val="20"/>
          <w:szCs w:val="20"/>
        </w:rPr>
        <w:t xml:space="preserve">📌 Recommandation pédagogique : </w:t>
      </w:r>
      <w:r>
        <w:rPr>
          <w:rFonts w:ascii="Arial" w:cs="Arial" w:eastAsia="Arial" w:hAnsi="Arial"/>
          <w:sz w:val="20"/>
          <w:szCs w:val="20"/>
        </w:rPr>
        <w:t xml:space="preserve">Pour un exercice de threat modeling sur un SIA, utiliser MITRE ATLAS pour identifier les TTPs, NIST AI 100-2 pour comprendre les mécanismes, OWASP Top 10 pour prioriser, et les recommandations ANSSI pour les mesures de protection. L’Opération OpenClaw (section 5.6) illustre cette approche intégrée.</w:t>
      </w:r>
    </w:p>
    <w:p>
      <w:r>
        <w:br w:type="page"/>
      </w:r>
    </w:p>
    <w:p>
      <w:pPr>
        <w:pStyle w:val="Heading2"/>
      </w:pPr>
      <w:r>
        <w:rPr>
          <w:rFonts w:ascii="Arial" w:cs="Arial" w:eastAsia="Arial" w:hAnsi="Arial"/>
        </w:rPr>
        <w:t xml:space="preserve">2.6.3 Taxonomie complète des attaques par phase du cycle de vie</w:t>
      </w:r>
    </w:p>
    <w:p>
      <w:pPr>
        <w:spacing w:after="120" w:before="0"/>
      </w:pPr>
      <w:r>
        <w:rPr>
          <w:rFonts w:ascii="Arial" w:cs="Arial" w:eastAsia="Arial" w:hAnsi="Arial"/>
          <w:sz w:val="22"/>
          <w:szCs w:val="22"/>
        </w:rPr>
        <w:t xml:space="preserve">La taxonomie suivante, inspirée de l’étude du Campus Cyber et enrichie par les référentiels NIST et MITRE ATLAS, organise les attaques en trois niveaux : Phase du cycle de vie → Famille d’attaque → Attaque spécifique.</w:t>
      </w:r>
    </w:p>
    <w:p>
      <w:pPr>
        <w:pStyle w:val="Heading3"/>
      </w:pPr>
      <w:r>
        <w:rPr>
          <w:rFonts w:ascii="Arial" w:cs="Arial" w:eastAsia="Arial" w:hAnsi="Arial"/>
        </w:rPr>
        <w:t xml:space="preserve">Phase B — Collecte et traitement des données</w:t>
      </w:r>
    </w:p>
    <w:p>
      <w:pPr>
        <w:spacing w:after="120" w:before="0"/>
      </w:pPr>
      <w:r>
        <w:rPr>
          <w:rFonts w:ascii="Arial" w:cs="Arial" w:eastAsia="Arial" w:hAnsi="Arial"/>
          <w:sz w:val="22"/>
          <w:szCs w:val="22"/>
        </w:rPr>
        <w:t xml:space="preserve">Les données sont le carburant de l’IA. Leur compromission en amont produit un modèle fondamentalement corrompu, souvent de manière indétectable.</w:t>
      </w:r>
    </w:p>
    <w:p>
      <w:pPr>
        <w:pStyle w:val="ListParagraph"/>
        <w:numPr>
          <w:ilvl w:val="0"/>
          <w:numId w:val="2"/>
        </w:numPr>
        <w:spacing w:after="60"/>
      </w:pPr>
      <w:r>
        <w:rPr>
          <w:rFonts w:ascii="Arial" w:cs="Arial" w:eastAsia="Arial" w:hAnsi="Arial"/>
          <w:b/>
          <w:bCs/>
          <w:sz w:val="20"/>
          <w:szCs w:val="20"/>
        </w:rPr>
        <w:t xml:space="preserve">Empoisonnement des données (Data Poisoning) : </w:t>
      </w:r>
      <w:r>
        <w:rPr>
          <w:rFonts w:ascii="Arial" w:cs="Arial" w:eastAsia="Arial" w:hAnsi="Arial"/>
          <w:sz w:val="20"/>
          <w:szCs w:val="20"/>
        </w:rPr>
        <w:t xml:space="preserve">Injection de données malveillantes dans le dataset d’entraînement pour altérer le comportement du modèle.</w:t>
      </w:r>
    </w:p>
    <w:p>
      <w:pPr>
        <w:pStyle w:val="ListParagraph"/>
        <w:numPr>
          <w:ilvl w:val="1"/>
          <w:numId w:val="2"/>
        </w:numPr>
        <w:spacing w:after="60"/>
      </w:pPr>
      <w:r>
        <w:rPr>
          <w:rFonts w:ascii="Arial" w:cs="Arial" w:eastAsia="Arial" w:hAnsi="Arial"/>
          <w:sz w:val="20"/>
          <w:szCs w:val="20"/>
        </w:rPr>
        <w:t xml:space="preserve">Label flipping : inversion des étiquettes d’une fraction des données (ex : étiqueter « spam » comme « légitime »). Même 3-5% de labels inversés peuvent dégrader significativement la précision.</w:t>
      </w:r>
    </w:p>
    <w:p>
      <w:pPr>
        <w:pStyle w:val="ListParagraph"/>
        <w:numPr>
          <w:ilvl w:val="1"/>
          <w:numId w:val="2"/>
        </w:numPr>
        <w:spacing w:after="60"/>
      </w:pPr>
      <w:r>
        <w:rPr>
          <w:rFonts w:ascii="Arial" w:cs="Arial" w:eastAsia="Arial" w:hAnsi="Arial"/>
          <w:sz w:val="20"/>
          <w:szCs w:val="20"/>
        </w:rPr>
        <w:t xml:space="preserve">Backdoor attacks (BadNets) : insertion d’un trigger pattern dans les données. Le modèle fonctionne normalement sauf quand le trigger est présent, déclenchant un comportement malveillant ciblé. MITRE ATLAS : AML.T0020.</w:t>
      </w:r>
    </w:p>
    <w:p>
      <w:pPr>
        <w:pStyle w:val="ListParagraph"/>
        <w:numPr>
          <w:ilvl w:val="1"/>
          <w:numId w:val="2"/>
        </w:numPr>
        <w:spacing w:after="60"/>
      </w:pPr>
      <w:r>
        <w:rPr>
          <w:rFonts w:ascii="Arial" w:cs="Arial" w:eastAsia="Arial" w:hAnsi="Arial"/>
          <w:sz w:val="20"/>
          <w:szCs w:val="20"/>
        </w:rPr>
        <w:t xml:space="preserve">Réplication de données : duplication massive d’exemples spécifiques pour biaiser l’apprentissage sans modifier les labels.</w:t>
      </w:r>
    </w:p>
    <w:p>
      <w:pPr>
        <w:pStyle w:val="ListParagraph"/>
        <w:numPr>
          <w:ilvl w:val="1"/>
          <w:numId w:val="2"/>
        </w:numPr>
        <w:spacing w:after="60"/>
      </w:pPr>
      <w:r>
        <w:rPr>
          <w:rFonts w:ascii="Arial" w:cs="Arial" w:eastAsia="Arial" w:hAnsi="Arial"/>
          <w:sz w:val="20"/>
          <w:szCs w:val="20"/>
        </w:rPr>
        <w:t xml:space="preserve">Clean-label poisoning (NIST 2025) : corruption subtile sans modification des labels, rendant la détection très difficile.</w:t>
      </w:r>
    </w:p>
    <w:p>
      <w:pPr>
        <w:pStyle w:val="ListParagraph"/>
        <w:numPr>
          <w:ilvl w:val="0"/>
          <w:numId w:val="2"/>
        </w:numPr>
        <w:spacing w:after="60"/>
      </w:pPr>
      <w:r>
        <w:rPr>
          <w:rFonts w:ascii="Arial" w:cs="Arial" w:eastAsia="Arial" w:hAnsi="Arial"/>
          <w:b/>
          <w:bCs/>
          <w:sz w:val="20"/>
          <w:szCs w:val="20"/>
        </w:rPr>
        <w:t xml:space="preserve">Vol de données d’entraînement : </w:t>
      </w:r>
      <w:r>
        <w:rPr>
          <w:rFonts w:ascii="Arial" w:cs="Arial" w:eastAsia="Arial" w:hAnsi="Arial"/>
          <w:sz w:val="20"/>
          <w:szCs w:val="20"/>
        </w:rPr>
        <w:t xml:space="preserve">Extraction des datasets propriétaires via compromission du stockage ou des pipelines de données.</w:t>
      </w:r>
    </w:p>
    <w:p>
      <w:pPr>
        <w:pBdr>
          <w:left w:val="single" w:color="C0392B" w:sz="12" w:space="8"/>
        </w:pBdr>
        <w:spacing w:before="160" w:after="160"/>
        <w:ind w:left="200"/>
      </w:pPr>
      <w:r>
        <w:rPr>
          <w:rFonts w:ascii="Arial" w:cs="Arial" w:eastAsia="Arial" w:hAnsi="Arial"/>
          <w:b/>
          <w:bCs/>
          <w:color w:val="C0392B"/>
          <w:sz w:val="20"/>
          <w:szCs w:val="20"/>
        </w:rPr>
        <w:t xml:space="preserve">Exemple — PoisonGPT (2023) : </w:t>
      </w:r>
      <w:r>
        <w:rPr>
          <w:rFonts w:ascii="Arial" w:cs="Arial" w:eastAsia="Arial" w:hAnsi="Arial"/>
          <w:sz w:val="20"/>
          <w:szCs w:val="20"/>
        </w:rPr>
        <w:t xml:space="preserve">Des chercheurs de Mithril Security ont modifié chirurgicalement le modèle GPT-J-6B pour y injecter de la désinformation ciblée (une fausse réponse à une question factuelle), puis l’ont publié sur Hugging Face sous un nom typosquatté. Le modèle restait parfaitement fonctionnel sur toutes les autres requêtes — l’empoisonnement était indétectable par des tests standards. Cf. section 5.5 du cours.</w:t>
      </w:r>
    </w:p>
    <w:p>
      <w:pPr>
        <w:pStyle w:val="Heading3"/>
      </w:pPr>
      <w:r>
        <w:rPr>
          <w:rFonts w:ascii="Arial" w:cs="Arial" w:eastAsia="Arial" w:hAnsi="Arial"/>
        </w:rPr>
        <w:t xml:space="preserve">Phase C — Construction du modèle</w:t>
      </w:r>
    </w:p>
    <w:p>
      <w:pPr>
        <w:spacing w:after="120" w:before="0"/>
      </w:pPr>
      <w:r>
        <w:rPr>
          <w:rFonts w:ascii="Arial" w:cs="Arial" w:eastAsia="Arial" w:hAnsi="Arial"/>
          <w:sz w:val="22"/>
          <w:szCs w:val="22"/>
        </w:rPr>
        <w:t xml:space="preserve">Le modèle lui-même peut être compromis pendant sa construction ou via sa chaîne d’approvisionnement.</w:t>
      </w:r>
    </w:p>
    <w:p>
      <w:pPr>
        <w:pStyle w:val="ListParagraph"/>
        <w:numPr>
          <w:ilvl w:val="0"/>
          <w:numId w:val="2"/>
        </w:numPr>
        <w:spacing w:after="60"/>
      </w:pPr>
      <w:r>
        <w:rPr>
          <w:rFonts w:ascii="Arial" w:cs="Arial" w:eastAsia="Arial" w:hAnsi="Arial"/>
          <w:b/>
          <w:bCs/>
          <w:sz w:val="20"/>
          <w:szCs w:val="20"/>
        </w:rPr>
        <w:t xml:space="preserve">Empoisonnement du modèle (Model Poisoning) : </w:t>
      </w:r>
      <w:r>
        <w:rPr>
          <w:rFonts w:ascii="Arial" w:cs="Arial" w:eastAsia="Arial" w:hAnsi="Arial"/>
          <w:sz w:val="20"/>
          <w:szCs w:val="20"/>
        </w:rPr>
        <w:t xml:space="preserve">Modification directe des poids, des hyperparamtres ou injection de code malveillant dans le pipeline d’entraînement.</w:t>
      </w:r>
    </w:p>
    <w:p>
      <w:pPr>
        <w:pStyle w:val="ListParagraph"/>
        <w:numPr>
          <w:ilvl w:val="1"/>
          <w:numId w:val="2"/>
        </w:numPr>
        <w:spacing w:after="60"/>
      </w:pPr>
      <w:r>
        <w:rPr>
          <w:rFonts w:ascii="Arial" w:cs="Arial" w:eastAsia="Arial" w:hAnsi="Arial"/>
          <w:sz w:val="20"/>
          <w:szCs w:val="20"/>
        </w:rPr>
        <w:t xml:space="preserve">Corruption des paramètres : modification des poids après entraînement pour insérer une backdoor. MITRE ATLAS : AML.T0018.</w:t>
      </w:r>
    </w:p>
    <w:p>
      <w:pPr>
        <w:pStyle w:val="ListParagraph"/>
        <w:numPr>
          <w:ilvl w:val="1"/>
          <w:numId w:val="2"/>
        </w:numPr>
        <w:spacing w:after="60"/>
      </w:pPr>
      <w:r>
        <w:rPr>
          <w:rFonts w:ascii="Arial" w:cs="Arial" w:eastAsia="Arial" w:hAnsi="Arial"/>
          <w:sz w:val="20"/>
          <w:szCs w:val="20"/>
        </w:rPr>
        <w:t xml:space="preserve">Injection de code dans les pipelines MLOps : compromission des scripts d’entraînement, des notebooks Jupyter, ou des dépendances (ex : bibliothèques PyTorch/TensorFlow malveillantes).</w:t>
      </w:r>
    </w:p>
    <w:p>
      <w:pPr>
        <w:pStyle w:val="ListParagraph"/>
        <w:numPr>
          <w:ilvl w:val="1"/>
          <w:numId w:val="2"/>
        </w:numPr>
        <w:spacing w:after="60"/>
      </w:pPr>
      <w:r>
        <w:rPr>
          <w:rFonts w:ascii="Arial" w:cs="Arial" w:eastAsia="Arial" w:hAnsi="Arial"/>
          <w:sz w:val="20"/>
          <w:szCs w:val="20"/>
        </w:rPr>
        <w:t xml:space="preserve">Supply chain attack sur les modèles : utilisation de modèles pré-entraînés compromis depuis Hugging Face, GitHub ou d’autres dépôts. OWASP LLM Top 10 : LLM05 (Supply Chain Vulnerabilities).</w:t>
      </w:r>
    </w:p>
    <w:p>
      <w:pPr>
        <w:pStyle w:val="ListParagraph"/>
        <w:numPr>
          <w:ilvl w:val="0"/>
          <w:numId w:val="2"/>
        </w:numPr>
        <w:spacing w:after="60"/>
      </w:pPr>
      <w:r>
        <w:rPr>
          <w:rFonts w:ascii="Arial" w:cs="Arial" w:eastAsia="Arial" w:hAnsi="Arial"/>
          <w:b/>
          <w:bCs/>
          <w:sz w:val="20"/>
          <w:szCs w:val="20"/>
        </w:rPr>
        <w:t xml:space="preserve">Vol de modèle (Model Theft) : </w:t>
      </w:r>
      <w:r>
        <w:rPr>
          <w:rFonts w:ascii="Arial" w:cs="Arial" w:eastAsia="Arial" w:hAnsi="Arial"/>
          <w:sz w:val="20"/>
          <w:szCs w:val="20"/>
        </w:rPr>
        <w:t xml:space="preserve">Extraction des poids du modèle depuis le stockage pendant la phase de construction.</w:t>
      </w:r>
    </w:p>
    <w:p>
      <w:pPr>
        <w:pBdr>
          <w:left w:val="single" w:color="E67E22" w:sz="12" w:space="8"/>
        </w:pBdr>
        <w:spacing w:before="160" w:after="160"/>
        <w:ind w:left="200"/>
      </w:pPr>
      <w:r>
        <w:rPr>
          <w:rFonts w:ascii="Arial" w:cs="Arial" w:eastAsia="Arial" w:hAnsi="Arial"/>
          <w:b/>
          <w:bCs/>
          <w:color w:val="E67E22"/>
          <w:sz w:val="20"/>
          <w:szCs w:val="20"/>
        </w:rPr>
        <w:t xml:space="preserve">Exemple — ShadowRay (2024) : </w:t>
      </w:r>
      <w:r>
        <w:rPr>
          <w:rFonts w:ascii="Arial" w:cs="Arial" w:eastAsia="Arial" w:hAnsi="Arial"/>
          <w:sz w:val="20"/>
          <w:szCs w:val="20"/>
        </w:rPr>
        <w:t xml:space="preserve">Des attaquants ont exploité des vulnérabilités dans Ray, un framework de ML distribué utilisé par OpenAI, Uber et Spotify, pour accéder aux pipelines d’entraînement, voler des données d’entraînement et injecter du code dans les environnements de production. Documenté par Oligo Security et référencé dans MITRE ATLAS.</w:t>
      </w:r>
    </w:p>
    <w:p>
      <w:pPr>
        <w:pStyle w:val="Heading3"/>
      </w:pPr>
      <w:r>
        <w:rPr>
          <w:rFonts w:ascii="Arial" w:cs="Arial" w:eastAsia="Arial" w:hAnsi="Arial"/>
        </w:rPr>
        <w:t xml:space="preserve">Phase D — Test, évaluation, vérification</w:t>
      </w:r>
    </w:p>
    <w:p>
      <w:pPr>
        <w:spacing w:after="120" w:before="0"/>
      </w:pPr>
      <w:r>
        <w:rPr>
          <w:rFonts w:ascii="Arial" w:cs="Arial" w:eastAsia="Arial" w:hAnsi="Arial"/>
          <w:sz w:val="22"/>
          <w:szCs w:val="22"/>
        </w:rPr>
        <w:t xml:space="preserve">Phase souvent négligée en termes de sécurité, elle peut être exploitée pour masquer les effets d’une attaque en amont.</w:t>
      </w:r>
    </w:p>
    <w:p>
      <w:pPr>
        <w:pStyle w:val="ListParagraph"/>
        <w:numPr>
          <w:ilvl w:val="0"/>
          <w:numId w:val="2"/>
        </w:numPr>
        <w:spacing w:after="60"/>
      </w:pPr>
      <w:r>
        <w:rPr>
          <w:rFonts w:ascii="Arial" w:cs="Arial" w:eastAsia="Arial" w:hAnsi="Arial"/>
          <w:b/>
          <w:bCs/>
          <w:sz w:val="20"/>
          <w:szCs w:val="20"/>
        </w:rPr>
        <w:t xml:space="preserve">Empoisonnement des données de test : </w:t>
      </w:r>
      <w:r>
        <w:rPr>
          <w:rFonts w:ascii="Arial" w:cs="Arial" w:eastAsia="Arial" w:hAnsi="Arial"/>
          <w:sz w:val="20"/>
          <w:szCs w:val="20"/>
        </w:rPr>
        <w:t xml:space="preserve">Manipulation du dataset de test pour que le modèle empoisonné passe les validations.</w:t>
      </w:r>
    </w:p>
    <w:p>
      <w:pPr>
        <w:pStyle w:val="ListParagraph"/>
        <w:numPr>
          <w:ilvl w:val="0"/>
          <w:numId w:val="2"/>
        </w:numPr>
        <w:spacing w:after="60"/>
      </w:pPr>
      <w:r>
        <w:rPr>
          <w:rFonts w:ascii="Arial" w:cs="Arial" w:eastAsia="Arial" w:hAnsi="Arial"/>
          <w:b/>
          <w:bCs/>
          <w:sz w:val="20"/>
          <w:szCs w:val="20"/>
        </w:rPr>
        <w:t xml:space="preserve">Manipulation des métriques : </w:t>
      </w:r>
      <w:r>
        <w:rPr>
          <w:rFonts w:ascii="Arial" w:cs="Arial" w:eastAsia="Arial" w:hAnsi="Arial"/>
          <w:sz w:val="20"/>
          <w:szCs w:val="20"/>
        </w:rPr>
        <w:t xml:space="preserve">Altération des scripts d’évaluation ou des seuils de décision pour masquer une dégradation de performance.</w:t>
      </w:r>
    </w:p>
    <w:p>
      <w:pPr>
        <w:pStyle w:val="Heading3"/>
      </w:pPr>
      <w:r>
        <w:rPr>
          <w:rFonts w:ascii="Arial" w:cs="Arial" w:eastAsia="Arial" w:hAnsi="Arial"/>
        </w:rPr>
        <w:t xml:space="preserve">Phase E — Déploiement</w:t>
      </w:r>
    </w:p>
    <w:p>
      <w:pPr>
        <w:spacing w:after="120" w:before="0"/>
      </w:pPr>
      <w:r>
        <w:rPr>
          <w:rFonts w:ascii="Arial" w:cs="Arial" w:eastAsia="Arial" w:hAnsi="Arial"/>
          <w:sz w:val="22"/>
          <w:szCs w:val="22"/>
        </w:rPr>
        <w:t xml:space="preserve">Le passage en production expose le modèle à de nouveaux vecteurs d’attaque.</w:t>
      </w:r>
    </w:p>
    <w:p>
      <w:pPr>
        <w:pStyle w:val="ListParagraph"/>
        <w:numPr>
          <w:ilvl w:val="0"/>
          <w:numId w:val="2"/>
        </w:numPr>
        <w:spacing w:after="60"/>
      </w:pPr>
      <w:r>
        <w:rPr>
          <w:rFonts w:ascii="Arial" w:cs="Arial" w:eastAsia="Arial" w:hAnsi="Arial"/>
          <w:b/>
          <w:bCs/>
          <w:sz w:val="20"/>
          <w:szCs w:val="20"/>
        </w:rPr>
        <w:t xml:space="preserve">Substitution de modèle : </w:t>
      </w:r>
      <w:r>
        <w:rPr>
          <w:rFonts w:ascii="Arial" w:cs="Arial" w:eastAsia="Arial" w:hAnsi="Arial"/>
          <w:sz w:val="20"/>
          <w:szCs w:val="20"/>
        </w:rPr>
        <w:t xml:space="preserve">Remplacement du modèle légitime par un modèle compromis pendant le déploiement. Exploite les faiblesses des pipelines CI/CD.</w:t>
      </w:r>
    </w:p>
    <w:p>
      <w:pPr>
        <w:pStyle w:val="ListParagraph"/>
        <w:numPr>
          <w:ilvl w:val="0"/>
          <w:numId w:val="2"/>
        </w:numPr>
        <w:spacing w:after="60"/>
      </w:pPr>
      <w:r>
        <w:rPr>
          <w:rFonts w:ascii="Arial" w:cs="Arial" w:eastAsia="Arial" w:hAnsi="Arial"/>
          <w:b/>
          <w:bCs/>
          <w:sz w:val="20"/>
          <w:szCs w:val="20"/>
        </w:rPr>
        <w:t xml:space="preserve">Compromission de l’environnement : </w:t>
      </w:r>
      <w:r>
        <w:rPr>
          <w:rFonts w:ascii="Arial" w:cs="Arial" w:eastAsia="Arial" w:hAnsi="Arial"/>
          <w:sz w:val="20"/>
          <w:szCs w:val="20"/>
        </w:rPr>
        <w:t xml:space="preserve">Attaque sur le runtime (conteneur Docker, GPU, orchestrateur Kubernetes) pour manipuler le modèle en production.</w:t>
      </w:r>
    </w:p>
    <w:p>
      <w:pPr>
        <w:pStyle w:val="ListParagraph"/>
        <w:numPr>
          <w:ilvl w:val="0"/>
          <w:numId w:val="2"/>
        </w:numPr>
        <w:spacing w:after="60"/>
      </w:pPr>
      <w:r>
        <w:rPr>
          <w:rFonts w:ascii="Arial" w:cs="Arial" w:eastAsia="Arial" w:hAnsi="Arial"/>
          <w:b/>
          <w:bCs/>
          <w:sz w:val="20"/>
          <w:szCs w:val="20"/>
        </w:rPr>
        <w:t xml:space="preserve">Escalade de privilèges dans les SMA : </w:t>
      </w:r>
      <w:r>
        <w:rPr>
          <w:rFonts w:ascii="Arial" w:cs="Arial" w:eastAsia="Arial" w:hAnsi="Arial"/>
          <w:sz w:val="20"/>
          <w:szCs w:val="20"/>
        </w:rPr>
        <w:t xml:space="preserve">Dans les systèmes multi-agents, exploitation des mécanismes de délégation pour qu’un agent obtienne des permissions excessives. Particulièrement critique avec le protocole MCP (Model Context Protocol) d’Anthropic.</w:t>
      </w:r>
    </w:p>
    <w:p>
      <w:pPr>
        <w:pBdr>
          <w:left w:val="single" w:color="8E44AD" w:sz="12" w:space="8"/>
        </w:pBdr>
        <w:spacing w:before="160" w:after="160"/>
        <w:ind w:left="200"/>
      </w:pPr>
      <w:r>
        <w:rPr>
          <w:rFonts w:ascii="Arial" w:cs="Arial" w:eastAsia="Arial" w:hAnsi="Arial"/>
          <w:b/>
          <w:bCs/>
          <w:color w:val="8E44AD"/>
          <w:sz w:val="20"/>
          <w:szCs w:val="20"/>
        </w:rPr>
        <w:t xml:space="preserve">Lien avec OpenClaw : </w:t>
      </w:r>
      <w:r>
        <w:rPr>
          <w:rFonts w:ascii="Arial" w:cs="Arial" w:eastAsia="Arial" w:hAnsi="Arial"/>
          <w:sz w:val="20"/>
          <w:szCs w:val="20"/>
        </w:rPr>
        <w:t xml:space="preserve">La Phase 2 de l’Opération OpenClaw (section 5.6) illustre la substitution supply chain : la skill « PharmaResearch Assistant » publiée sur ClawHub est une attaque de phase E, exploitant la confiance dans lécosystème de déploiement.</w:t>
      </w:r>
    </w:p>
    <w:p>
      <w:r>
        <w:br w:type="page"/>
      </w:r>
    </w:p>
    <w:p>
      <w:pPr>
        <w:pStyle w:val="Heading3"/>
      </w:pPr>
      <w:r>
        <w:rPr>
          <w:rFonts w:ascii="Arial" w:cs="Arial" w:eastAsia="Arial" w:hAnsi="Arial"/>
        </w:rPr>
        <w:t xml:space="preserve">Phase F — Exploitation et maintenance (la plus exposée)</w:t>
      </w:r>
    </w:p>
    <w:p>
      <w:pPr>
        <w:spacing w:after="120" w:before="0"/>
      </w:pPr>
      <w:r>
        <w:rPr>
          <w:rFonts w:ascii="Arial" w:cs="Arial" w:eastAsia="Arial" w:hAnsi="Arial"/>
          <w:sz w:val="22"/>
          <w:szCs w:val="22"/>
        </w:rPr>
        <w:t xml:space="preserve">C’est la phase la plus longue et la plus riche en attaques. Le modèle est accessible aux utilisateurs, aux données externes et aux outils.</w:t>
      </w:r>
    </w:p>
    <w:p>
      <w:pPr>
        <w:spacing w:after="120" w:before="0"/>
      </w:pPr>
      <w:r>
        <w:rPr>
          <w:rFonts w:ascii="Arial" w:cs="Arial" w:eastAsia="Arial" w:hAnsi="Arial"/>
          <w:b/>
          <w:bCs/>
          <w:sz w:val="22"/>
          <w:szCs w:val="22"/>
        </w:rPr>
        <w:t xml:space="preserve">F.1 — Perturbation du service</w:t>
      </w:r>
      <w:r>
        <w:rPr>
          <w:rFonts w:ascii="Arial" w:cs="Arial" w:eastAsia="Arial" w:hAnsi="Arial"/>
          <w:sz w:val="22"/>
          <w:szCs w:val="22"/>
        </w:rPr>
        <w:t xml:space="preserve"/>
      </w:r>
    </w:p>
    <w:p>
      <w:pPr>
        <w:pStyle w:val="ListParagraph"/>
        <w:numPr>
          <w:ilvl w:val="0"/>
          <w:numId w:val="2"/>
        </w:numPr>
        <w:spacing w:after="60"/>
      </w:pPr>
      <w:r>
        <w:rPr>
          <w:rFonts w:ascii="Arial" w:cs="Arial" w:eastAsia="Arial" w:hAnsi="Arial"/>
          <w:sz w:val="20"/>
          <w:szCs w:val="20"/>
        </w:rPr>
        <w:t xml:space="preserve">Déni de service IA (AI DoS) : surcharge du modèle avec des requêtes complexes (sponge examples) pour épuiser les ressources GPU/CPU.</w:t>
      </w:r>
    </w:p>
    <w:p>
      <w:pPr>
        <w:pStyle w:val="ListParagraph"/>
        <w:numPr>
          <w:ilvl w:val="0"/>
          <w:numId w:val="2"/>
        </w:numPr>
        <w:spacing w:after="60"/>
      </w:pPr>
      <w:r>
        <w:rPr>
          <w:rFonts w:ascii="Arial" w:cs="Arial" w:eastAsia="Arial" w:hAnsi="Arial"/>
          <w:sz w:val="20"/>
          <w:szCs w:val="20"/>
        </w:rPr>
        <w:t xml:space="preserve">Exploitation des coûts (Cost Exploitation) : génération de requêtes maximisant la consommation de tokens/calcul pour faire exploser les coûts API. OWASP LLM Top 10 : LLM10 (Unbounded Consumption).</w:t>
      </w:r>
    </w:p>
    <w:p>
      <w:pPr>
        <w:pStyle w:val="ListParagraph"/>
        <w:numPr>
          <w:ilvl w:val="0"/>
          <w:numId w:val="2"/>
        </w:numPr>
        <w:spacing w:after="60"/>
      </w:pPr>
      <w:r>
        <w:rPr>
          <w:rFonts w:ascii="Arial" w:cs="Arial" w:eastAsia="Arial" w:hAnsi="Arial"/>
          <w:sz w:val="20"/>
          <w:szCs w:val="20"/>
        </w:rPr>
        <w:t xml:space="preserve">Sur-sollicitation de la supervision humaine : dans les SMA, création massive d’alertes pour provoquer une fatigue décisionnelle du superviseur, qui valide automatiquement des actions malveillantes.</w:t>
      </w:r>
    </w:p>
    <w:p>
      <w:pPr>
        <w:pStyle w:val="ListParagraph"/>
        <w:numPr>
          <w:ilvl w:val="0"/>
          <w:numId w:val="2"/>
        </w:numPr>
        <w:spacing w:after="60"/>
      </w:pPr>
      <w:r>
        <w:rPr>
          <w:rFonts w:ascii="Arial" w:cs="Arial" w:eastAsia="Arial" w:hAnsi="Arial"/>
          <w:sz w:val="20"/>
          <w:szCs w:val="20"/>
        </w:rPr>
        <w:t xml:space="preserve">Infiltration d’agent malveillant : introduction d’un agent défectueux dans un SMA qui diffuse des informations erronées aux autres agents.</w:t>
      </w:r>
    </w:p>
    <w:p>
      <w:pPr>
        <w:spacing w:after="120" w:before="0"/>
      </w:pPr>
      <w:r>
        <w:rPr>
          <w:rFonts w:ascii="Arial" w:cs="Arial" w:eastAsia="Arial" w:hAnsi="Arial"/>
          <w:b/>
          <w:bCs/>
          <w:sz w:val="22"/>
          <w:szCs w:val="22"/>
        </w:rPr>
        <w:t xml:space="preserve">F.2 — Empoisonnement en production</w:t>
      </w:r>
      <w:r>
        <w:rPr>
          <w:rFonts w:ascii="Arial" w:cs="Arial" w:eastAsia="Arial" w:hAnsi="Arial"/>
          <w:sz w:val="22"/>
          <w:szCs w:val="22"/>
        </w:rPr>
        <w:t xml:space="preserve"/>
      </w:r>
    </w:p>
    <w:p>
      <w:pPr>
        <w:pStyle w:val="ListParagraph"/>
        <w:numPr>
          <w:ilvl w:val="0"/>
          <w:numId w:val="2"/>
        </w:numPr>
        <w:spacing w:after="60"/>
      </w:pPr>
      <w:r>
        <w:rPr>
          <w:rFonts w:ascii="Arial" w:cs="Arial" w:eastAsia="Arial" w:hAnsi="Arial"/>
          <w:sz w:val="20"/>
          <w:szCs w:val="20"/>
        </w:rPr>
        <w:t xml:space="preserve">Exemples adversariels (Adversarial Examples) : modifications imperceptibles des entrées pour tromper le modèle. Exemple classique : autocollants sur un panneau routier qui font classifier un « sens interdit » comme « limitation de vitesse ». MITRE ATLAS : AML.T0015.</w:t>
      </w:r>
    </w:p>
    <w:p>
      <w:pPr>
        <w:pStyle w:val="ListParagraph"/>
        <w:numPr>
          <w:ilvl w:val="0"/>
          <w:numId w:val="2"/>
        </w:numPr>
        <w:spacing w:after="60"/>
      </w:pPr>
      <w:r>
        <w:rPr>
          <w:rFonts w:ascii="Arial" w:cs="Arial" w:eastAsia="Arial" w:hAnsi="Arial"/>
          <w:sz w:val="20"/>
          <w:szCs w:val="20"/>
        </w:rPr>
        <w:t xml:space="preserve">Prompt injection directe : manipulation directe du prompt utilisateur pour contourner les instructions système du LLM (jailbreak).</w:t>
      </w:r>
    </w:p>
    <w:p>
      <w:pPr>
        <w:pStyle w:val="ListParagraph"/>
        <w:numPr>
          <w:ilvl w:val="0"/>
          <w:numId w:val="2"/>
        </w:numPr>
        <w:spacing w:after="60"/>
      </w:pPr>
      <w:r>
        <w:rPr>
          <w:rFonts w:ascii="Arial" w:cs="Arial" w:eastAsia="Arial" w:hAnsi="Arial"/>
          <w:sz w:val="20"/>
          <w:szCs w:val="20"/>
        </w:rPr>
        <w:t xml:space="preserve">Prompt injection indirecte via RAG : insertion d’instructions malveillantes dans les documents de la base de connaissances RAG. Lorsque le modèle récupère ces documents, il exécute les instructions cachées. OWASP LLM Top 10 : LLM01.</w:t>
      </w:r>
    </w:p>
    <w:p>
      <w:pPr>
        <w:pStyle w:val="ListParagraph"/>
        <w:numPr>
          <w:ilvl w:val="0"/>
          <w:numId w:val="2"/>
        </w:numPr>
        <w:spacing w:after="60"/>
      </w:pPr>
      <w:r>
        <w:rPr>
          <w:rFonts w:ascii="Arial" w:cs="Arial" w:eastAsia="Arial" w:hAnsi="Arial"/>
          <w:sz w:val="20"/>
          <w:szCs w:val="20"/>
        </w:rPr>
        <w:t xml:space="preserve">Prompt injection indirecte via Slack/email : le Morris II Worm (2024) a démontré qu’un email contenant des instructions cachées, traité par un agent RAG, peut se propager automatiquement.</w:t>
      </w:r>
    </w:p>
    <w:p>
      <w:pPr>
        <w:pBdr>
          <w:left w:val="single" w:color="8E44AD" w:sz="12" w:space="8"/>
        </w:pBdr>
        <w:spacing w:before="160" w:after="160"/>
        <w:ind w:left="200"/>
      </w:pPr>
      <w:r>
        <w:rPr>
          <w:rFonts w:ascii="Arial" w:cs="Arial" w:eastAsia="Arial" w:hAnsi="Arial"/>
          <w:b/>
          <w:bCs/>
          <w:color w:val="8E44AD"/>
          <w:sz w:val="20"/>
          <w:szCs w:val="20"/>
        </w:rPr>
        <w:t xml:space="preserve">Exemple — Opération OpenClaw, Phase 4 : </w:t>
      </w:r>
      <w:r>
        <w:rPr>
          <w:rFonts w:ascii="Arial" w:cs="Arial" w:eastAsia="Arial" w:hAnsi="Arial"/>
          <w:sz w:val="20"/>
          <w:szCs w:val="20"/>
        </w:rPr>
        <w:t xml:space="preserve">L’attaquant envoie un message Slack contenant des instructions cachées. L’agent OpenClaw de la victime lit le message via son accès Slack, exécute les instructions malveillantes, et utilise PowerShell/WMI pour cartographier l’Active Directory — c’est un prompt injection indirecte via un canal de collaboration. Cf. section 5.6.</w:t>
      </w:r>
    </w:p>
    <w:p>
      <w:pPr>
        <w:spacing w:after="120" w:before="0"/>
      </w:pPr>
      <w:r>
        <w:rPr>
          <w:rFonts w:ascii="Arial" w:cs="Arial" w:eastAsia="Arial" w:hAnsi="Arial"/>
          <w:b/>
          <w:bCs/>
          <w:sz w:val="22"/>
          <w:szCs w:val="22"/>
        </w:rPr>
        <w:t xml:space="preserve">F.3 — Vol de données et de modèle</w:t>
      </w:r>
      <w:r>
        <w:rPr>
          <w:rFonts w:ascii="Arial" w:cs="Arial" w:eastAsia="Arial" w:hAnsi="Arial"/>
          <w:sz w:val="22"/>
          <w:szCs w:val="22"/>
        </w:rPr>
        <w:t xml:space="preserve"/>
      </w:r>
    </w:p>
    <w:p>
      <w:pPr>
        <w:pStyle w:val="ListParagraph"/>
        <w:numPr>
          <w:ilvl w:val="0"/>
          <w:numId w:val="2"/>
        </w:numPr>
        <w:spacing w:after="60"/>
      </w:pPr>
      <w:r>
        <w:rPr>
          <w:rFonts w:ascii="Arial" w:cs="Arial" w:eastAsia="Arial" w:hAnsi="Arial"/>
          <w:sz w:val="20"/>
          <w:szCs w:val="20"/>
        </w:rPr>
        <w:t xml:space="preserve">Extraction de prompt (Prompt Extraction) : techniques pour faire divulguer le system prompt du LLM, révélant les instructions confidentielles. OWASP LLM Top 10 : LLM07 (System Prompt Leakage).</w:t>
      </w:r>
    </w:p>
    <w:p>
      <w:pPr>
        <w:pStyle w:val="ListParagraph"/>
        <w:numPr>
          <w:ilvl w:val="0"/>
          <w:numId w:val="2"/>
        </w:numPr>
        <w:spacing w:after="60"/>
      </w:pPr>
      <w:r>
        <w:rPr>
          <w:rFonts w:ascii="Arial" w:cs="Arial" w:eastAsia="Arial" w:hAnsi="Arial"/>
          <w:sz w:val="20"/>
          <w:szCs w:val="20"/>
        </w:rPr>
        <w:t xml:space="preserve">Model Inversion : reconstruction des données d’entraînement à partir des réponses du modèle. Un attaquant peut récupérer des données sensibles (visages, dossiers médicaux) utilisées pour l’entraînement.</w:t>
      </w:r>
    </w:p>
    <w:p>
      <w:pPr>
        <w:pStyle w:val="ListParagraph"/>
        <w:numPr>
          <w:ilvl w:val="0"/>
          <w:numId w:val="2"/>
        </w:numPr>
        <w:spacing w:after="60"/>
      </w:pPr>
      <w:r>
        <w:rPr>
          <w:rFonts w:ascii="Arial" w:cs="Arial" w:eastAsia="Arial" w:hAnsi="Arial"/>
          <w:sz w:val="20"/>
          <w:szCs w:val="20"/>
        </w:rPr>
        <w:t xml:space="preserve">Membership Inference : déterminer si une donnée spécifique faisait partie du dataset d’entraînement. Violation de vie privée (ex : savoir si le dossier médical d’un patient a servi à entraîner un modèle de diagnostic).</w:t>
      </w:r>
    </w:p>
    <w:p>
      <w:pPr>
        <w:pStyle w:val="ListParagraph"/>
        <w:numPr>
          <w:ilvl w:val="0"/>
          <w:numId w:val="2"/>
        </w:numPr>
        <w:spacing w:after="60"/>
      </w:pPr>
      <w:r>
        <w:rPr>
          <w:rFonts w:ascii="Arial" w:cs="Arial" w:eastAsia="Arial" w:hAnsi="Arial"/>
          <w:sz w:val="20"/>
          <w:szCs w:val="20"/>
        </w:rPr>
        <w:t xml:space="preserve">Property Inference : déduire des propriétés globales du dataset (ex : ratio hommes/femmes) à partir des sorties du modèle.</w:t>
      </w:r>
    </w:p>
    <w:p>
      <w:pPr>
        <w:pStyle w:val="ListParagraph"/>
        <w:numPr>
          <w:ilvl w:val="0"/>
          <w:numId w:val="2"/>
        </w:numPr>
        <w:spacing w:after="60"/>
      </w:pPr>
      <w:r>
        <w:rPr>
          <w:rFonts w:ascii="Arial" w:cs="Arial" w:eastAsia="Arial" w:hAnsi="Arial"/>
          <w:sz w:val="20"/>
          <w:szCs w:val="20"/>
        </w:rPr>
        <w:t xml:space="preserve">Extraction de modèle via API : reconstruction d’un modèle équivalent en interrogeant massivement l’API. Vol de propriété intellectuelle. MITRE ATLAS : AML.T0024.</w:t>
      </w:r>
    </w:p>
    <w:p>
      <w:pPr>
        <w:spacing w:after="120" w:before="0"/>
      </w:pPr>
      <w:r>
        <w:rPr>
          <w:rFonts w:ascii="Arial" w:cs="Arial" w:eastAsia="Arial" w:hAnsi="Arial"/>
          <w:b/>
          <w:bCs/>
          <w:sz w:val="22"/>
          <w:szCs w:val="22"/>
        </w:rPr>
        <w:t xml:space="preserve">F.4 — Abus du modèle</w:t>
      </w:r>
      <w:r>
        <w:rPr>
          <w:rFonts w:ascii="Arial" w:cs="Arial" w:eastAsia="Arial" w:hAnsi="Arial"/>
          <w:sz w:val="22"/>
          <w:szCs w:val="22"/>
        </w:rPr>
        <w:t xml:space="preserve"/>
      </w:r>
    </w:p>
    <w:p>
      <w:pPr>
        <w:pStyle w:val="ListParagraph"/>
        <w:numPr>
          <w:ilvl w:val="0"/>
          <w:numId w:val="2"/>
        </w:numPr>
        <w:spacing w:after="60"/>
      </w:pPr>
      <w:r>
        <w:rPr>
          <w:rFonts w:ascii="Arial" w:cs="Arial" w:eastAsia="Arial" w:hAnsi="Arial"/>
          <w:sz w:val="20"/>
          <w:szCs w:val="20"/>
        </w:rPr>
        <w:t xml:space="preserve">Jailbreak LLM : techniques pour contourner les garde-fous du modèle et obtenir des contenus interdits. OWASP LLM Top 10 : LLM01.</w:t>
      </w:r>
    </w:p>
    <w:p>
      <w:pPr>
        <w:pStyle w:val="ListParagraph"/>
        <w:numPr>
          <w:ilvl w:val="0"/>
          <w:numId w:val="2"/>
        </w:numPr>
        <w:spacing w:after="60"/>
      </w:pPr>
      <w:r>
        <w:rPr>
          <w:rFonts w:ascii="Arial" w:cs="Arial" w:eastAsia="Arial" w:hAnsi="Arial"/>
          <w:sz w:val="20"/>
          <w:szCs w:val="20"/>
        </w:rPr>
        <w:t xml:space="preserve">Compromission de plugins/skills : modification d’un outil connecté via MCP pour exécuter des actions non autorisées. OWASP LLM Top 10 : LLM06 (Excessive Agency).</w:t>
      </w:r>
    </w:p>
    <w:p>
      <w:pPr>
        <w:pStyle w:val="ListParagraph"/>
        <w:numPr>
          <w:ilvl w:val="0"/>
          <w:numId w:val="2"/>
        </w:numPr>
        <w:spacing w:after="60"/>
      </w:pPr>
      <w:r>
        <w:rPr>
          <w:rFonts w:ascii="Arial" w:cs="Arial" w:eastAsia="Arial" w:hAnsi="Arial"/>
          <w:sz w:val="20"/>
          <w:szCs w:val="20"/>
        </w:rPr>
        <w:t xml:space="preserve">Attaques sur les embeddings RAG : empoisonnement de la base vectorielle pour biaiser la récupération d’informations. OWASP LLM Top 10 : LLM08 (Vector and Embedding Weaknesses).</w:t>
      </w:r>
    </w:p>
    <w:p>
      <w:pPr>
        <w:pStyle w:val="ListParagraph"/>
        <w:numPr>
          <w:ilvl w:val="0"/>
          <w:numId w:val="2"/>
        </w:numPr>
        <w:spacing w:after="60"/>
      </w:pPr>
      <w:r>
        <w:rPr>
          <w:rFonts w:ascii="Arial" w:cs="Arial" w:eastAsia="Arial" w:hAnsi="Arial"/>
          <w:sz w:val="20"/>
          <w:szCs w:val="20"/>
        </w:rPr>
        <w:t xml:space="preserve">Dégradation progressive du modèle : manipulation lente de l’apprentissage continu pour faire dériver le modèle de ses objectifs initiaux.</w:t>
      </w:r>
    </w:p>
    <w:p>
      <w:pPr>
        <w:pStyle w:val="Heading3"/>
      </w:pPr>
      <w:r>
        <w:rPr>
          <w:rFonts w:ascii="Arial" w:cs="Arial" w:eastAsia="Arial" w:hAnsi="Arial"/>
        </w:rPr>
        <w:t xml:space="preserve">Phase G — Décommissionnement</w:t>
      </w:r>
    </w:p>
    <w:p>
      <w:pPr>
        <w:spacing w:after="120" w:before="0"/>
      </w:pPr>
      <w:r>
        <w:rPr>
          <w:rFonts w:ascii="Arial" w:cs="Arial" w:eastAsia="Arial" w:hAnsi="Arial"/>
          <w:sz w:val="22"/>
          <w:szCs w:val="22"/>
        </w:rPr>
        <w:t xml:space="preserve">Phase systématiquement négligée par les organisations. Pourtant, un modèle retiré de production contient toujours des informations sensibles.</w:t>
      </w:r>
    </w:p>
    <w:p>
      <w:pPr>
        <w:pStyle w:val="ListParagraph"/>
        <w:numPr>
          <w:ilvl w:val="0"/>
          <w:numId w:val="2"/>
        </w:numPr>
        <w:spacing w:after="60"/>
      </w:pPr>
      <w:r>
        <w:rPr>
          <w:rFonts w:ascii="Arial" w:cs="Arial" w:eastAsia="Arial" w:hAnsi="Arial"/>
          <w:b/>
          <w:bCs/>
          <w:sz w:val="20"/>
          <w:szCs w:val="20"/>
        </w:rPr>
        <w:t xml:space="preserve">Persistance des données : </w:t>
      </w:r>
      <w:r>
        <w:rPr>
          <w:rFonts w:ascii="Arial" w:cs="Arial" w:eastAsia="Arial" w:hAnsi="Arial"/>
          <w:sz w:val="20"/>
          <w:szCs w:val="20"/>
        </w:rPr>
        <w:t xml:space="preserve">Les données d’entraînement, les logs d’inférence, les caches de prompt et les bases vectorielles peuvent persister après le retrait du modèle.</w:t>
      </w:r>
    </w:p>
    <w:p>
      <w:pPr>
        <w:pStyle w:val="ListParagraph"/>
        <w:numPr>
          <w:ilvl w:val="0"/>
          <w:numId w:val="2"/>
        </w:numPr>
        <w:spacing w:after="60"/>
      </w:pPr>
      <w:r>
        <w:rPr>
          <w:rFonts w:ascii="Arial" w:cs="Arial" w:eastAsia="Arial" w:hAnsi="Arial"/>
          <w:b/>
          <w:bCs/>
          <w:sz w:val="20"/>
          <w:szCs w:val="20"/>
        </w:rPr>
        <w:t xml:space="preserve">Réutilisation non contrôlée : </w:t>
      </w:r>
      <w:r>
        <w:rPr>
          <w:rFonts w:ascii="Arial" w:cs="Arial" w:eastAsia="Arial" w:hAnsi="Arial"/>
          <w:sz w:val="20"/>
          <w:szCs w:val="20"/>
        </w:rPr>
        <w:t xml:space="preserve">Un modèle retiré peut être réutilisé dans un autre contexte sans ré-évaluation de sécurité, emportant ses vulnérabilités.</w:t>
      </w:r>
    </w:p>
    <w:p>
      <w:r>
        <w:br w:type="page"/>
      </w:r>
    </w:p>
    <w:p>
      <w:pPr>
        <w:pStyle w:val="Heading2"/>
      </w:pPr>
      <w:r>
        <w:rPr>
          <w:rFonts w:ascii="Arial" w:cs="Arial" w:eastAsia="Arial" w:hAnsi="Arial"/>
        </w:rPr>
        <w:t xml:space="preserve">2.6.4 Vue synthétique : les 4 grandes catégories d’attaques</w:t>
      </w:r>
    </w:p>
    <w:p>
      <w:pPr>
        <w:spacing w:after="120" w:before="0"/>
      </w:pPr>
      <w:r>
        <w:rPr>
          <w:rFonts w:ascii="Arial" w:cs="Arial" w:eastAsia="Arial" w:hAnsi="Arial"/>
          <w:sz w:val="22"/>
          <w:szCs w:val="22"/>
        </w:rPr>
        <w:t xml:space="preserve">Au-delà du cycle de vie, les attaques sur les SIA peuvent être regroupées en 4 familles transversales, correspondant aux objectifs fondamentaux des attaquants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426"/>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Catégorie</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Objectif attaquant</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Exemples d’attaques</w:t>
            </w:r>
          </w:p>
        </w:tc>
        <w:tc>
          <w:tcPr>
            <w:tcW w:type="dxa" w:w="24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Critère DICF impacté</w:t>
            </w:r>
          </w:p>
        </w:tc>
      </w:tr>
      <w:tr>
        <w:tc>
          <w:tcPr>
            <w:tcW w:type="dxa" w:w="18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pPr>
              <w:spacing w:after="30"/>
            </w:pPr>
            <w:r>
              <w:rPr>
                <w:rFonts w:ascii="Arial" w:cs="Arial" w:eastAsia="Arial" w:hAnsi="Arial"/>
                <w:b/>
                <w:bCs/>
                <w:color w:val="FFFFFF"/>
                <w:sz w:val="17"/>
                <w:szCs w:val="17"/>
              </w:rPr>
              <w:t xml:space="preserve">Évasion (Evasion)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17"/>
                <w:szCs w:val="17"/>
              </w:rPr>
              <w:t xml:space="preserve">Tromper le modèle en production pour obtenir des sorties incorrectes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17"/>
                <w:szCs w:val="17"/>
              </w:rPr>
              <w:t xml:space="preserve">Exemples adversariels, prompt injection, jailbreak, perturbation d’entrées</w:t>
            </w:r>
          </w:p>
        </w:tc>
        <w:tc>
          <w:tcPr>
            <w:tcW w:type="dxa" w:w="24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30"/>
            </w:pPr>
            <w:r>
              <w:rPr>
                <w:rFonts w:ascii="Arial" w:cs="Arial" w:eastAsia="Arial" w:hAnsi="Arial"/>
                <w:b/>
                <w:bCs/>
                <w:sz w:val="17"/>
                <w:szCs w:val="17"/>
              </w:rPr>
              <w:t xml:space="preserve">Fiabilité, Intégrité</w:t>
            </w:r>
          </w:p>
        </w:tc>
      </w:tr>
      <w:tr>
        <w:tc>
          <w:tcPr>
            <w:tcW w:type="dxa" w:w="1800"/>
            <w:tcBorders>
              <w:top w:val="single" w:color="CCCCCC" w:sz="1"/>
              <w:left w:val="single" w:color="CCCCCC" w:sz="1"/>
              <w:bottom w:val="single" w:color="CCCCCC" w:sz="1"/>
              <w:right w:val="single" w:color="CCCCCC" w:sz="1"/>
            </w:tcBorders>
            <w:shd w:fill="E67E22" w:val="clear"/>
            <w:tcMar>
              <w:top w:type="dxa" w:w="80"/>
              <w:left w:type="dxa" w:w="120"/>
              <w:bottom w:type="dxa" w:w="80"/>
              <w:right w:type="dxa" w:w="120"/>
            </w:tcMar>
          </w:tcPr>
          <w:p>
            <w:pPr>
              <w:spacing w:after="30"/>
            </w:pPr>
            <w:r>
              <w:rPr>
                <w:rFonts w:ascii="Arial" w:cs="Arial" w:eastAsia="Arial" w:hAnsi="Arial"/>
                <w:b/>
                <w:bCs/>
                <w:color w:val="FFFFFF"/>
                <w:sz w:val="17"/>
                <w:szCs w:val="17"/>
              </w:rPr>
              <w:t xml:space="preserve">Empoisonnement (Poisoning)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17"/>
                <w:szCs w:val="17"/>
              </w:rPr>
              <w:t xml:space="preserve">Corrompre le modèle pendant l’entraînement ou la mise à jour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17"/>
                <w:szCs w:val="17"/>
              </w:rPr>
              <w:t xml:space="preserve">Data poisoning, model backdoors, label flipping, supply chain compromise</w:t>
            </w:r>
          </w:p>
        </w:tc>
        <w:tc>
          <w:tcPr>
            <w:tcW w:type="dxa" w:w="24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30"/>
            </w:pPr>
            <w:r>
              <w:rPr>
                <w:rFonts w:ascii="Arial" w:cs="Arial" w:eastAsia="Arial" w:hAnsi="Arial"/>
                <w:b/>
                <w:bCs/>
                <w:sz w:val="17"/>
                <w:szCs w:val="17"/>
              </w:rPr>
              <w:t xml:space="preserve">Intégrité, Fiabilité</w:t>
            </w:r>
          </w:p>
        </w:tc>
      </w:tr>
      <w:tr>
        <w:tc>
          <w:tcPr>
            <w:tcW w:type="dxa" w:w="1800"/>
            <w:tcBorders>
              <w:top w:val="single" w:color="CCCCCC" w:sz="1"/>
              <w:left w:val="single" w:color="CCCCCC" w:sz="1"/>
              <w:bottom w:val="single" w:color="CCCCCC" w:sz="1"/>
              <w:right w:val="single" w:color="CCCCCC" w:sz="1"/>
            </w:tcBorders>
            <w:shd w:fill="8E44AD" w:val="clear"/>
            <w:tcMar>
              <w:top w:type="dxa" w:w="80"/>
              <w:left w:type="dxa" w:w="120"/>
              <w:bottom w:type="dxa" w:w="80"/>
              <w:right w:type="dxa" w:w="120"/>
            </w:tcMar>
          </w:tcPr>
          <w:p>
            <w:pPr>
              <w:spacing w:after="30"/>
            </w:pPr>
            <w:r>
              <w:rPr>
                <w:rFonts w:ascii="Arial" w:cs="Arial" w:eastAsia="Arial" w:hAnsi="Arial"/>
                <w:b/>
                <w:bCs/>
                <w:color w:val="FFFFFF"/>
                <w:sz w:val="17"/>
                <w:szCs w:val="17"/>
              </w:rPr>
              <w:t xml:space="preserve">Vie privée (Privacy)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17"/>
                <w:szCs w:val="17"/>
              </w:rPr>
              <w:t xml:space="preserve">Extraire des informations sensibles du modèle ou de ses données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17"/>
                <w:szCs w:val="17"/>
              </w:rPr>
              <w:t xml:space="preserve">Model inversion, membership inference, extraction de modèle, prompt leakage</w:t>
            </w:r>
          </w:p>
        </w:tc>
        <w:tc>
          <w:tcPr>
            <w:tcW w:type="dxa" w:w="24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30"/>
            </w:pPr>
            <w:r>
              <w:rPr>
                <w:rFonts w:ascii="Arial" w:cs="Arial" w:eastAsia="Arial" w:hAnsi="Arial"/>
                <w:b/>
                <w:bCs/>
                <w:sz w:val="17"/>
                <w:szCs w:val="17"/>
              </w:rPr>
              <w:t xml:space="preserve">Confidentialité</w:t>
            </w:r>
          </w:p>
        </w:tc>
      </w:tr>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30"/>
            </w:pPr>
            <w:r>
              <w:rPr>
                <w:rFonts w:ascii="Arial" w:cs="Arial" w:eastAsia="Arial" w:hAnsi="Arial"/>
                <w:b/>
                <w:bCs/>
                <w:color w:val="FFFFFF"/>
                <w:sz w:val="17"/>
                <w:szCs w:val="17"/>
              </w:rPr>
              <w:t xml:space="preserve">Abus (Abuse)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17"/>
                <w:szCs w:val="17"/>
              </w:rPr>
              <w:t xml:space="preserve">Détourner le modèle de son usage prévu pour des fins malveillantes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17"/>
                <w:szCs w:val="17"/>
              </w:rPr>
              <w:t xml:space="preserve">Génération de malware, désinformation, excessive agency, abus de plugins</w:t>
            </w:r>
          </w:p>
        </w:tc>
        <w:tc>
          <w:tcPr>
            <w:tcW w:type="dxa" w:w="24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30"/>
            </w:pPr>
            <w:r>
              <w:rPr>
                <w:rFonts w:ascii="Arial" w:cs="Arial" w:eastAsia="Arial" w:hAnsi="Arial"/>
                <w:b/>
                <w:bCs/>
                <w:sz w:val="17"/>
                <w:szCs w:val="17"/>
              </w:rPr>
              <w:t xml:space="preserve">Intégrité, Disponibilité</w:t>
            </w:r>
          </w:p>
        </w:tc>
      </w:tr>
    </w:tbl>
    <w:p>
      <w:pPr>
        <w:spacing w:after="120" w:before="120"/>
      </w:pPr>
      <w:r>
        <w:rPr>
          <w:rFonts w:ascii="Arial" w:cs="Arial" w:eastAsia="Arial" w:hAnsi="Arial"/>
          <w:sz w:val="22"/>
          <w:szCs w:val="22"/>
        </w:rPr>
        <w:t xml:space="preserve">Cette classification est celle retenue par le NIST AI 100-2e2025. Les catégories d’évasion et d’empoisonnement s’appliquent tant à l’IA prédictive qu’à l’IA générative. La catégorie d’abus est spécifique aux LLM et systèmes génératifs.</w:t>
      </w:r>
    </w:p>
    <w:p>
      <w:pPr>
        <w:pStyle w:val="Heading2"/>
      </w:pPr>
      <w:r>
        <w:rPr>
          <w:rFonts w:ascii="Arial" w:cs="Arial" w:eastAsia="Arial" w:hAnsi="Arial"/>
        </w:rPr>
        <w:t xml:space="preserve">2.6.5 Mapping croisé : Kill Chain offensive ↔ Cycle de vie défensif</w:t>
      </w:r>
    </w:p>
    <w:p>
      <w:pPr>
        <w:spacing w:after="120" w:before="0"/>
      </w:pPr>
      <w:r>
        <w:rPr>
          <w:rFonts w:ascii="Arial" w:cs="Arial" w:eastAsia="Arial" w:hAnsi="Arial"/>
          <w:sz w:val="22"/>
          <w:szCs w:val="22"/>
        </w:rPr>
        <w:t xml:space="preserve">Le tableau suivant montre la correspondance entre les phases de la Kill Chain (perspective attaquant, utilisée en sections 2.1 à 2.5) et les phases du cycle de vie (perspective défenseur). Il illustre comment une même attaque peut être analysée sous les deux angles.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3000"/>
        <w:gridCol w:w="2426"/>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Kill Chain (attaquant)</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Cycle de vie (défenseur)</w:t>
            </w:r>
          </w:p>
        </w:tc>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Exemple d’attaque</w:t>
            </w:r>
          </w:p>
        </w:tc>
        <w:tc>
          <w:tcPr>
            <w:tcW w:type="dxa" w:w="24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Cas du cours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30"/>
            </w:pPr>
            <w:r>
              <w:rPr>
                <w:rFonts w:ascii="Arial" w:cs="Arial" w:eastAsia="Arial" w:hAnsi="Arial"/>
                <w:b/>
                <w:bCs/>
                <w:sz w:val="17"/>
                <w:szCs w:val="17"/>
              </w:rPr>
              <w:t xml:space="preserve">Reconnaissance</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30"/>
            </w:pPr>
            <w:r>
              <w:rPr>
                <w:rFonts w:ascii="Arial" w:cs="Arial" w:eastAsia="Arial" w:hAnsi="Arial"/>
                <w:b/>
                <w:bCs/>
                <w:sz w:val="17"/>
                <w:szCs w:val="17"/>
              </w:rPr>
              <w:t xml:space="preserve">F (Exploitation)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17"/>
                <w:szCs w:val="17"/>
              </w:rPr>
              <w:t xml:space="preserve">Sondage de l’API du modèle pour inférer son architecture</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i/>
                <w:iCs/>
                <w:sz w:val="17"/>
                <w:szCs w:val="17"/>
              </w:rPr>
              <w:t xml:space="preserve">OpenClaw Phase 1</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30"/>
            </w:pPr>
            <w:r>
              <w:rPr>
                <w:rFonts w:ascii="Arial" w:cs="Arial" w:eastAsia="Arial" w:hAnsi="Arial"/>
                <w:b/>
                <w:bCs/>
                <w:sz w:val="17"/>
                <w:szCs w:val="17"/>
              </w:rPr>
              <w:t xml:space="preserve">Armement</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30"/>
            </w:pPr>
            <w:r>
              <w:rPr>
                <w:rFonts w:ascii="Arial" w:cs="Arial" w:eastAsia="Arial" w:hAnsi="Arial"/>
                <w:b/>
                <w:bCs/>
                <w:sz w:val="17"/>
                <w:szCs w:val="17"/>
              </w:rPr>
              <w:t xml:space="preserve">B-C (Données/Modèle)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17"/>
                <w:szCs w:val="17"/>
              </w:rPr>
              <w:t xml:space="preserve">Création d’un modèle empoisonné pour supply chain attack</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i/>
                <w:iCs/>
                <w:sz w:val="17"/>
                <w:szCs w:val="17"/>
              </w:rPr>
              <w:t xml:space="preserve">PoisonGPT (5.5)</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30"/>
            </w:pPr>
            <w:r>
              <w:rPr>
                <w:rFonts w:ascii="Arial" w:cs="Arial" w:eastAsia="Arial" w:hAnsi="Arial"/>
                <w:b/>
                <w:bCs/>
                <w:sz w:val="17"/>
                <w:szCs w:val="17"/>
              </w:rPr>
              <w:t xml:space="preserve">Armement</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30"/>
            </w:pPr>
            <w:r>
              <w:rPr>
                <w:rFonts w:ascii="Arial" w:cs="Arial" w:eastAsia="Arial" w:hAnsi="Arial"/>
                <w:b/>
                <w:bCs/>
                <w:sz w:val="17"/>
                <w:szCs w:val="17"/>
              </w:rPr>
              <w:t xml:space="preserve">E (Déploiement)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17"/>
                <w:szCs w:val="17"/>
              </w:rPr>
              <w:t xml:space="preserve">Publication d’une skill/plugin malveillant sur un marketplace</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i/>
                <w:iCs/>
                <w:sz w:val="17"/>
                <w:szCs w:val="17"/>
              </w:rPr>
              <w:t xml:space="preserve">OpenClaw Phase 2</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30"/>
            </w:pPr>
            <w:r>
              <w:rPr>
                <w:rFonts w:ascii="Arial" w:cs="Arial" w:eastAsia="Arial" w:hAnsi="Arial"/>
                <w:b/>
                <w:bCs/>
                <w:sz w:val="17"/>
                <w:szCs w:val="17"/>
              </w:rPr>
              <w:t xml:space="preserve">Livraison</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30"/>
            </w:pPr>
            <w:r>
              <w:rPr>
                <w:rFonts w:ascii="Arial" w:cs="Arial" w:eastAsia="Arial" w:hAnsi="Arial"/>
                <w:b/>
                <w:bCs/>
                <w:sz w:val="17"/>
                <w:szCs w:val="17"/>
              </w:rPr>
              <w:t xml:space="preserve">F (Exploitation)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17"/>
                <w:szCs w:val="17"/>
              </w:rPr>
              <w:t xml:space="preserve">Prompt injection indirecte via Slack ou document RAG</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i/>
                <w:iCs/>
                <w:sz w:val="17"/>
                <w:szCs w:val="17"/>
              </w:rPr>
              <w:t xml:space="preserve">OpenClaw Phase 3</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30"/>
            </w:pPr>
            <w:r>
              <w:rPr>
                <w:rFonts w:ascii="Arial" w:cs="Arial" w:eastAsia="Arial" w:hAnsi="Arial"/>
                <w:b/>
                <w:bCs/>
                <w:sz w:val="17"/>
                <w:szCs w:val="17"/>
              </w:rPr>
              <w:t xml:space="preserve">Exploitation</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30"/>
            </w:pPr>
            <w:r>
              <w:rPr>
                <w:rFonts w:ascii="Arial" w:cs="Arial" w:eastAsia="Arial" w:hAnsi="Arial"/>
                <w:b/>
                <w:bCs/>
                <w:sz w:val="17"/>
                <w:szCs w:val="17"/>
              </w:rPr>
              <w:t xml:space="preserve">F (Exploitation)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17"/>
                <w:szCs w:val="17"/>
              </w:rPr>
              <w:t xml:space="preserve">Jailbreak du LLM pour exécuter des commandes système</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i/>
                <w:iCs/>
                <w:sz w:val="17"/>
                <w:szCs w:val="17"/>
              </w:rPr>
              <w:t xml:space="preserve">PromptLock (5.3)</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30"/>
            </w:pPr>
            <w:r>
              <w:rPr>
                <w:rFonts w:ascii="Arial" w:cs="Arial" w:eastAsia="Arial" w:hAnsi="Arial"/>
                <w:b/>
                <w:bCs/>
                <w:sz w:val="17"/>
                <w:szCs w:val="17"/>
              </w:rPr>
              <w:t xml:space="preserve">Installation</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30"/>
            </w:pPr>
            <w:r>
              <w:rPr>
                <w:rFonts w:ascii="Arial" w:cs="Arial" w:eastAsia="Arial" w:hAnsi="Arial"/>
                <w:b/>
                <w:bCs/>
                <w:sz w:val="17"/>
                <w:szCs w:val="17"/>
              </w:rPr>
              <w:t xml:space="preserve">F (Exploitation)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17"/>
                <w:szCs w:val="17"/>
              </w:rPr>
              <w:t xml:space="preserve">Agent IA autonome qui persiste via des tâches planifiées</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i/>
                <w:iCs/>
                <w:sz w:val="17"/>
                <w:szCs w:val="17"/>
              </w:rPr>
              <w:t xml:space="preserve">OpenClaw Phase 4</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30"/>
            </w:pPr>
            <w:r>
              <w:rPr>
                <w:rFonts w:ascii="Arial" w:cs="Arial" w:eastAsia="Arial" w:hAnsi="Arial"/>
                <w:b/>
                <w:bCs/>
                <w:sz w:val="17"/>
                <w:szCs w:val="17"/>
              </w:rPr>
              <w:t xml:space="preserve">C2</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30"/>
            </w:pPr>
            <w:r>
              <w:rPr>
                <w:rFonts w:ascii="Arial" w:cs="Arial" w:eastAsia="Arial" w:hAnsi="Arial"/>
                <w:b/>
                <w:bCs/>
                <w:sz w:val="17"/>
                <w:szCs w:val="17"/>
              </w:rPr>
              <w:t xml:space="preserve">F (Exploitation)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17"/>
                <w:szCs w:val="17"/>
              </w:rPr>
              <w:t xml:space="preserve">Agent compromis communiquant via des requêtes LLM légitimes</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i/>
                <w:iCs/>
                <w:sz w:val="17"/>
                <w:szCs w:val="17"/>
              </w:rPr>
              <w:t xml:space="preserve">OpenClaw Phase 4</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30"/>
            </w:pPr>
            <w:r>
              <w:rPr>
                <w:rFonts w:ascii="Arial" w:cs="Arial" w:eastAsia="Arial" w:hAnsi="Arial"/>
                <w:b/>
                <w:bCs/>
                <w:sz w:val="17"/>
                <w:szCs w:val="17"/>
              </w:rPr>
              <w:t xml:space="preserve">Actions</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30"/>
            </w:pPr>
            <w:r>
              <w:rPr>
                <w:rFonts w:ascii="Arial" w:cs="Arial" w:eastAsia="Arial" w:hAnsi="Arial"/>
                <w:b/>
                <w:bCs/>
                <w:sz w:val="17"/>
                <w:szCs w:val="17"/>
              </w:rPr>
              <w:t xml:space="preserve">F (Exploitation)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17"/>
                <w:szCs w:val="17"/>
              </w:rPr>
              <w:t xml:space="preserve">Exfiltration de données via le canal de sortie du modèle</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i/>
                <w:iCs/>
                <w:sz w:val="17"/>
                <w:szCs w:val="17"/>
              </w:rPr>
              <w:t xml:space="preserve">OpenClaw Phase 5</w:t>
            </w:r>
          </w:p>
        </w:tc>
      </w:tr>
    </w:tbl>
    <w:p>
      <w:r>
        <w:br w:type="page"/>
      </w:r>
    </w:p>
    <w:p>
      <w:pPr>
        <w:pStyle w:val="Heading2"/>
      </w:pPr>
      <w:r>
        <w:rPr>
          <w:rFonts w:ascii="Arial" w:cs="Arial" w:eastAsia="Arial" w:hAnsi="Arial"/>
        </w:rPr>
        <w:t xml:space="preserve">2.6.6 Références</w:t>
      </w:r>
    </w:p>
    <w:p>
      <w:pPr>
        <w:spacing w:after="120" w:before="0"/>
      </w:pPr>
      <w:r>
        <w:rPr>
          <w:rFonts w:ascii="Arial" w:cs="Arial" w:eastAsia="Arial" w:hAnsi="Arial"/>
          <w:sz w:val="20"/>
          <w:szCs w:val="20"/>
        </w:rPr>
        <w:t xml:space="preserve">[1] OCDE. Recommandation du Conseil sur l’Intelligence Artificielle, OECD/LEGAL/0449, 2019, mise à jour mai 2024. https://legalinstruments.oecd.org/en/instruments/OECD-LEGAL-0449</w:t>
      </w:r>
    </w:p>
    <w:p>
      <w:pPr>
        <w:spacing w:after="120" w:before="0"/>
      </w:pPr>
      <w:r>
        <w:rPr>
          <w:rFonts w:ascii="Arial" w:cs="Arial" w:eastAsia="Arial" w:hAnsi="Arial"/>
          <w:sz w:val="20"/>
          <w:szCs w:val="20"/>
        </w:rPr>
        <w:t xml:space="preserve">[2] OCDE. OECD Framework for the Classification of AI Systems, OECD Digital Economy Papers n°323, février 2022. https://doi.org/10.1787/cb6d9eca-en</w:t>
      </w:r>
    </w:p>
    <w:p>
      <w:pPr>
        <w:spacing w:after="120" w:before="0"/>
      </w:pPr>
      <w:r>
        <w:rPr>
          <w:rFonts w:ascii="Arial" w:cs="Arial" w:eastAsia="Arial" w:hAnsi="Arial"/>
          <w:sz w:val="20"/>
          <w:szCs w:val="20"/>
        </w:rPr>
        <w:t xml:space="preserve">[3] NIST. Adversarial Machine Learning: A Taxonomy and Terminology of Attacks and Mitigations, NIST AI 100-2e2025, mars 2025. Vassilev A., Oprea A., Fordyce A. et al. https://doi.org/10.6028/NIST.AI.100-2e2025</w:t>
      </w:r>
    </w:p>
    <w:p>
      <w:pPr>
        <w:spacing w:after="120" w:before="0"/>
      </w:pPr>
      <w:r>
        <w:rPr>
          <w:rFonts w:ascii="Arial" w:cs="Arial" w:eastAsia="Arial" w:hAnsi="Arial"/>
          <w:sz w:val="20"/>
          <w:szCs w:val="20"/>
        </w:rPr>
        <w:t xml:space="preserve">[4] MITRE. ATLAS – Adversarial Threat Landscape for Artificial-Intelligence Systems, v4.x, octobre 2025. 15 tactiques, 66 techniques, 46 sous-techniques. https://atlas.mitre.org/</w:t>
      </w:r>
    </w:p>
    <w:p>
      <w:pPr>
        <w:spacing w:after="120" w:before="0"/>
      </w:pPr>
      <w:r>
        <w:rPr>
          <w:rFonts w:ascii="Arial" w:cs="Arial" w:eastAsia="Arial" w:hAnsi="Arial"/>
          <w:sz w:val="20"/>
          <w:szCs w:val="20"/>
        </w:rPr>
        <w:t xml:space="preserve">[5] OWASP. Top 10 for Large Language Model Applications v2.0, 2025. https://owasp.org/www-project-top-10-for-large-language-model-applications/</w:t>
      </w:r>
    </w:p>
    <w:p>
      <w:pPr>
        <w:spacing w:after="120" w:before="0"/>
      </w:pPr>
      <w:r>
        <w:rPr>
          <w:rFonts w:ascii="Arial" w:cs="Arial" w:eastAsia="Arial" w:hAnsi="Arial"/>
          <w:sz w:val="20"/>
          <w:szCs w:val="20"/>
        </w:rPr>
        <w:t xml:space="preserve">[6] OWASP. Top 10 for Machine Learning Security v1.0, 2023. https://owasp.org/www-project-machine-learning-security-top-10/</w:t>
      </w:r>
    </w:p>
    <w:p>
      <w:pPr>
        <w:spacing w:after="120" w:before="0"/>
      </w:pPr>
      <w:r>
        <w:rPr>
          <w:rFonts w:ascii="Arial" w:cs="Arial" w:eastAsia="Arial" w:hAnsi="Arial"/>
          <w:sz w:val="20"/>
          <w:szCs w:val="20"/>
        </w:rPr>
        <w:t xml:space="preserve">[7] OWASP. Agentic AI Threats and Mitigations, 2025. https://genai.owasp.org/resource/agentic-ai-threats-and-mitigations/</w:t>
      </w:r>
    </w:p>
    <w:p>
      <w:pPr>
        <w:spacing w:after="120" w:before="0"/>
      </w:pPr>
      <w:r>
        <w:rPr>
          <w:rFonts w:ascii="Arial" w:cs="Arial" w:eastAsia="Arial" w:hAnsi="Arial"/>
          <w:sz w:val="20"/>
          <w:szCs w:val="20"/>
        </w:rPr>
        <w:t xml:space="preserve">[8] OWASP. A Practical Guide for Securely Using Third-Party MCP Servers v1.0, octobre 2025. https://genai.owasp.org/resource/cheatsheet-a-practical-guide-for-securely-using-third-party-mcp-servers1-0/</w:t>
      </w:r>
    </w:p>
    <w:p>
      <w:pPr>
        <w:spacing w:after="120" w:before="0"/>
      </w:pPr>
      <w:r>
        <w:rPr>
          <w:rFonts w:ascii="Arial" w:cs="Arial" w:eastAsia="Arial" w:hAnsi="Arial"/>
          <w:sz w:val="20"/>
          <w:szCs w:val="20"/>
        </w:rPr>
        <w:t xml:space="preserve">[9] ANSSI. Recommandations de sécurité pour un système d’IA générative, avril 2024. https://cyber.gouv.fr/</w:t>
      </w:r>
    </w:p>
    <w:p>
      <w:pPr>
        <w:spacing w:after="120" w:before="0"/>
      </w:pPr>
      <w:r>
        <w:rPr>
          <w:rFonts w:ascii="Arial" w:cs="Arial" w:eastAsia="Arial" w:hAnsi="Arial"/>
          <w:sz w:val="20"/>
          <w:szCs w:val="20"/>
        </w:rPr>
        <w:t xml:space="preserve">[10] ANSSI. Développer la confiance dans l’IA à travers une approche par les risques cyber — Analyse commune, février 2026.</w:t>
      </w:r>
    </w:p>
    <w:p>
      <w:pPr>
        <w:spacing w:after="120" w:before="0"/>
      </w:pPr>
      <w:r>
        <w:rPr>
          <w:rFonts w:ascii="Arial" w:cs="Arial" w:eastAsia="Arial" w:hAnsi="Arial"/>
          <w:sz w:val="20"/>
          <w:szCs w:val="20"/>
        </w:rPr>
        <w:t xml:space="preserve">[11] ANSSI. Guide d’hygiène informatique – 42 mesures, https://cyber.gouv.fr/publications/guide-dhygiene-informatique</w:t>
      </w:r>
    </w:p>
    <w:p>
      <w:pPr>
        <w:spacing w:after="120" w:before="0"/>
      </w:pPr>
      <w:r>
        <w:rPr>
          <w:rFonts w:ascii="Arial" w:cs="Arial" w:eastAsia="Arial" w:hAnsi="Arial"/>
          <w:sz w:val="20"/>
          <w:szCs w:val="20"/>
        </w:rPr>
        <w:t xml:space="preserve">[12] GT Sécurité de l’IA, Campus Cyber, Hub France IA. Analyse des attaques sur les systèmes de l’IA, février 2026, 171 pages.</w:t>
      </w:r>
    </w:p>
    <w:p>
      <w:pPr>
        <w:spacing w:after="120" w:before="0"/>
      </w:pPr>
      <w:r>
        <w:rPr>
          <w:rFonts w:ascii="Arial" w:cs="Arial" w:eastAsia="Arial" w:hAnsi="Arial"/>
          <w:sz w:val="20"/>
          <w:szCs w:val="20"/>
        </w:rPr>
        <w:t xml:space="preserve">[13] Wavestone. Radar des Solutions de Sécurité IA 2025, septembre 2025. 94 éditeurs, 9 catégories.</w:t>
      </w:r>
    </w:p>
    <w:p>
      <w:pPr>
        <w:spacing w:after="120" w:before="0"/>
      </w:pPr>
      <w:r>
        <w:rPr>
          <w:rFonts w:ascii="Arial" w:cs="Arial" w:eastAsia="Arial" w:hAnsi="Arial"/>
          <w:sz w:val="20"/>
          <w:szCs w:val="20"/>
        </w:rPr>
        <w:t xml:space="preserve">[14] Mithril Security. PoisonGPT: How we hid a lobotomized LLM on Hugging Face to spread fake news, 2023. https://blog.mithrilsecurity.io/poisongpt-how-we-hid-a-lobotomized-llm-on-hugging-face-to-spread-fake-news/</w:t>
      </w:r>
    </w:p>
    <w:p>
      <w:pPr>
        <w:spacing w:after="120" w:before="0"/>
      </w:pPr>
      <w:r>
        <w:rPr>
          <w:rFonts w:ascii="Arial" w:cs="Arial" w:eastAsia="Arial" w:hAnsi="Arial"/>
          <w:sz w:val="20"/>
          <w:szCs w:val="20"/>
        </w:rPr>
        <w:t xml:space="preserve">[15] Oligo Security. ShadowRay: First Known Attack Campaign Targeting AI Workloads, 2024.</w:t>
      </w:r>
    </w:p>
    <w:p>
      <w:pPr>
        <w:spacing w:after="120" w:before="0"/>
      </w:pPr>
      <w:r>
        <w:rPr>
          <w:rFonts w:ascii="Arial" w:cs="Arial" w:eastAsia="Arial" w:hAnsi="Arial"/>
          <w:sz w:val="20"/>
          <w:szCs w:val="20"/>
        </w:rPr>
        <w:t xml:space="preserve">[16] Cohen B. et al. Here Comes The AI Worm: Unleashing Zero-click Worms that Target GenAI-Powered Applications (Morris II), 2024. https://arxiv.org/abs/2403.02817</w:t>
      </w:r>
    </w:p>
    <w:p>
      <w:pPr>
        <w:spacing w:after="120" w:before="0"/>
      </w:pPr>
      <w:r>
        <w:rPr>
          <w:rFonts w:ascii="Arial" w:cs="Arial" w:eastAsia="Arial" w:hAnsi="Arial"/>
          <w:sz w:val="20"/>
          <w:szCs w:val="20"/>
        </w:rPr>
        <w:t xml:space="preserve">[17] MITRE/Zenity Labs. 14 nouvelles techniques agentiques pour ATLAS, octobre 2025.</w:t>
      </w:r>
    </w:p>
    <w:p>
      <w:pPr>
        <w:spacing w:after="120" w:before="0"/>
      </w:pPr>
      <w:r>
        <w:rPr>
          <w:rFonts w:ascii="Arial" w:cs="Arial" w:eastAsia="Arial" w:hAnsi="Arial"/>
          <w:sz w:val="20"/>
          <w:szCs w:val="20"/>
        </w:rPr>
        <w:t xml:space="preserve">[18] NIST. Risk Management Framework for Information Systems and Organizations, SP 800-37 Rev. 2, décembre 2018.</w:t>
      </w:r>
    </w:p>
    <w:p>
      <w:pPr>
        <w:spacing w:after="120" w:before="0"/>
      </w:pPr>
      <w:r>
        <w:rPr>
          <w:rFonts w:ascii="Arial" w:cs="Arial" w:eastAsia="Arial" w:hAnsi="Arial"/>
          <w:sz w:val="20"/>
          <w:szCs w:val="20"/>
        </w:rPr>
        <w:t xml:space="preserve">[19] Adversa AI. NIST AI 100-2 E2025 : Key Changes in AI Security Guidelines (2023 vs. 2025), juillet 2025. https://adversa.ai/blog/nist-ai-100-2-e2025/</w:t>
      </w:r>
    </w:p>
    <w:sectPr>
      <w:pgSz w:w="11906" w:h="16838" w:orient="portrait"/>
      <w:pgMar w:top="1440" w:right="1300" w:bottom="144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Arial" w:cs="Arial" w:eastAsia="Arial" w:hAnsi="Arial"/>
      <w:b/>
      <w:bCs/>
      <w:color w:val="1B3A5C"/>
      <w:sz w:val="34"/>
      <w:szCs w:val="34"/>
    </w:rPr>
  </w:style>
  <w:style w:type="paragraph" w:styleId="Heading2">
    <w:name w:val="Heading 2"/>
    <w:basedOn w:val="Normal"/>
    <w:next w:val="Normal"/>
    <w:qFormat/>
    <w:pPr>
      <w:spacing w:before="280" w:after="18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140"/>
      <w:outlineLvl w:val="2"/>
    </w:pPr>
    <w:rPr>
      <w:rFonts w:ascii="Arial" w:cs="Arial" w:eastAsia="Arial" w:hAnsi="Arial"/>
      <w:b/>
      <w:bCs/>
      <w:color w:val="1B3A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2026-02-22T09:20:12.204Z</dcterms:created>
  <dcterms:modified xsi:type="dcterms:W3CDTF">2026-02-22T09:20:12.205Z</dcterms:modified>
</cp:coreProperties>
</file>

<file path=docProps/custom.xml><?xml version="1.0" encoding="utf-8"?>
<Properties xmlns="http://schemas.openxmlformats.org/officeDocument/2006/custom-properties" xmlns:vt="http://schemas.openxmlformats.org/officeDocument/2006/docPropsVTypes"/>
</file>