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Submission Inspection Report</w:t>
      </w:r>
    </w:p>
    <w:p>
      <w:r>
        <w:t>This inspection checks the current PDF report, project code, generated experiment outputs, citations, and packaging readiness. The current PDF still contains the old Chapter 4 values; the Chapter 4 revision pack must be applied before final submission.</w:t>
      </w:r>
    </w:p>
    <w:p>
      <w:pPr>
        <w:pStyle w:val="Heading2"/>
      </w:pPr>
      <w:r>
        <w:t>Overall Verdict</w:t>
      </w:r>
    </w:p>
    <w:p>
      <w:r>
        <w:t>Conditionally ready after revision.</w:t>
      </w:r>
    </w:p>
    <w:p>
      <w:r>
        <w:t>The project code and generated experiment outputs support the revised Chapter 4 results. The submitted report will better fulfil the experimental-result requirements once the outdated Chapter 4 tables, validation values, runtime values, and altered-image structural results are updated using the revision pack. The main remaining submission risks are formatting/package-related rather than experimental-validity problems.</w:t>
      </w:r>
    </w:p>
    <w:p>
      <w:pPr>
        <w:pStyle w:val="Heading2"/>
      </w:pPr>
      <w:r>
        <w:t>Experiment and Code Consistency</w:t>
      </w:r>
    </w:p>
    <w:p>
      <w:pPr>
        <w:pStyle w:val="ListBullet"/>
      </w:pPr>
      <w:r>
        <w:t>Python syntax check passed for Fingerprint_Enhancement_System.py, app.py,</w:t>
      </w:r>
    </w:p>
    <w:p>
      <w:r>
        <w:t>and mode_a_equivalence.py.</w:t>
      </w:r>
    </w:p>
    <w:p>
      <w:pPr>
        <w:pStyle w:val="ListBullet"/>
      </w:pPr>
      <w:r>
        <w:t>mode_a_equivalence.py executed successfully with exit code 0.</w:t>
      </w:r>
    </w:p>
    <w:p>
      <w:pPr>
        <w:pStyle w:val="ListBullet"/>
      </w:pPr>
      <w:r>
        <w:t>The generated split audit confirms 500 development images from 50 subjects,</w:t>
      </w:r>
    </w:p>
    <w:p>
      <w:r>
        <w:t>1000 validation images from 100 subjects, zero subject overlap, and zero image overlap.</w:t>
      </w:r>
    </w:p>
    <w:p>
      <w:pPr>
        <w:pStyle w:val="ListBullet"/>
      </w:pPr>
      <w:r>
        <w:t>final_selected_configuration.json confirms that validation results were not</w:t>
      </w:r>
    </w:p>
    <w:p>
      <w:r>
        <w:t>used for tuning and that the selected method is M1 NLM.</w:t>
      </w:r>
    </w:p>
    <w:p>
      <w:pPr>
        <w:pStyle w:val="ListBullet"/>
      </w:pPr>
      <w:r>
        <w:t>The final Modified Gabor parameters were found in the experiment output:</w:t>
      </w:r>
    </w:p>
    <w:p>
      <w:r>
        <w:t>detail_clip = 0.10; frequencies = [0.075, 0.095, 0.115, 0.140]; gamma = 0.50; orientation_bins = 12; orientation_offset = 1.5707963267948966 radians; sigma_scale = 0.55; strength = 0.12.</w:t>
      </w:r>
    </w:p>
    <w:p>
      <w:pPr>
        <w:pStyle w:val="ListBullet"/>
      </w:pPr>
      <w:r>
        <w:t>The development and validation values in the revision pack match</w:t>
      </w:r>
    </w:p>
    <w:p>
      <w:r>
        <w:t>development_member_comparison.csv and validation_member_comparison.csv.</w:t>
      </w:r>
    </w:p>
    <w:p>
      <w:pPr>
        <w:pStyle w:val="ListBullet"/>
      </w:pPr>
      <w:r>
        <w:t>The altered-image structural table uses actual values from</w:t>
      </w:r>
    </w:p>
    <w:p>
      <w:r>
        <w:t>altered_structural_summary.csv, not fabricated values.</w:t>
      </w:r>
    </w:p>
    <w:p>
      <w:pPr>
        <w:pStyle w:val="Heading2"/>
      </w:pPr>
      <w:r>
        <w:t>Chapter 4 Readiness</w:t>
      </w:r>
    </w:p>
    <w:p>
      <w:r>
        <w:t>Chapter 4 in the current PDF does not yet fully fulfil the updated experiment outputs because it still contains outdated values:</w:t>
      </w:r>
    </w:p>
    <w:p>
      <w:pPr>
        <w:pStyle w:val="ListBullet"/>
      </w:pPr>
      <w:r>
        <w:t>Table 4.2 reports old mean MSE and runtime values.</w:t>
      </w:r>
    </w:p>
    <w:p>
      <w:pPr>
        <w:pStyle w:val="ListBullet"/>
      </w:pPr>
      <w:r>
        <w:t>The development discussion reports NLM mean MSE as approximately 0.001121</w:t>
      </w:r>
    </w:p>
    <w:p>
      <w:r>
        <w:t>instead of approximately 0.001114.</w:t>
      </w:r>
    </w:p>
    <w:p>
      <w:pPr>
        <w:pStyle w:val="ListBullet"/>
      </w:pPr>
      <w:r>
        <w:t>The validation table is missing.</w:t>
      </w:r>
    </w:p>
    <w:p>
      <w:pPr>
        <w:pStyle w:val="ListBullet"/>
      </w:pPr>
      <w:r>
        <w:t>The altered-image structural results are discussed but not numerically</w:t>
      </w:r>
    </w:p>
    <w:p>
      <w:r>
        <w:t>presented.</w:t>
      </w:r>
    </w:p>
    <w:p>
      <w:pPr>
        <w:pStyle w:val="ListBullet"/>
      </w:pPr>
      <w:r>
        <w:t>TV validation runtime is still stated as approximately 0.254 seconds per image</w:t>
      </w:r>
    </w:p>
    <w:p>
      <w:r>
        <w:t>instead of approximately 0.230 seconds per image.</w:t>
      </w:r>
    </w:p>
    <w:p>
      <w:pPr>
        <w:pStyle w:val="ListBullet"/>
      </w:pPr>
      <w:r>
        <w:t>Directional Diffusion validation runtime is still stated as approximately</w:t>
      </w:r>
    </w:p>
    <w:p>
      <w:r>
        <w:t>0.772 seconds per image instead of approximately 0.508 seconds per image.</w:t>
      </w:r>
    </w:p>
    <w:p>
      <w:r>
        <w:t>After applying chapter4_experimental_results_revisions.md, the result section will align with the final experiment outputs and will more clearly distinguish NLM as the PSNR-first winner from TV as the strongest SSIM/runtime method.</w:t>
      </w:r>
    </w:p>
    <w:p>
      <w:pPr>
        <w:pStyle w:val="Heading2"/>
      </w:pPr>
      <w:r>
        <w:t>Citation and Reference Check</w:t>
      </w:r>
    </w:p>
    <w:p>
      <w:r>
        <w:t>The report includes references for the main techniques, dataset, metrics, and contextual frameworks:</w:t>
      </w:r>
    </w:p>
    <w:p>
      <w:pPr>
        <w:pStyle w:val="ListBullet"/>
      </w:pPr>
      <w:r>
        <w:t>NLM: Buades, Coll, and Morel (2005).</w:t>
      </w:r>
    </w:p>
    <w:p>
      <w:pPr>
        <w:pStyle w:val="ListBullet"/>
      </w:pPr>
      <w:r>
        <w:t>Modified Gabor/fingerprint enhancement: Hong, Wan, and Jain (1998).</w:t>
      </w:r>
    </w:p>
    <w:p>
      <w:pPr>
        <w:pStyle w:val="ListBullet"/>
      </w:pPr>
      <w:r>
        <w:t>TV restoration: Rudin, Osher, and Fatemi (1992), and Chambolle (2004).</w:t>
      </w:r>
    </w:p>
    <w:p>
      <w:pPr>
        <w:pStyle w:val="ListBullet"/>
      </w:pPr>
      <w:r>
        <w:t>Directional diffusion: Weickert (1999).</w:t>
      </w:r>
    </w:p>
    <w:p>
      <w:pPr>
        <w:pStyle w:val="ListBullet"/>
      </w:pPr>
      <w:r>
        <w:t>SSIM/image quality: Wang et al. (2004).</w:t>
      </w:r>
    </w:p>
    <w:p>
      <w:pPr>
        <w:pStyle w:val="ListBullet"/>
      </w:pPr>
      <w:r>
        <w:t>SOCOFing dataset: Shehu et al. (2018) and the Kaggle dataset entry.</w:t>
      </w:r>
    </w:p>
    <w:p>
      <w:pPr>
        <w:pStyle w:val="ListBullet"/>
      </w:pPr>
      <w:r>
        <w:t>Contextual motivation: United Nations SDG 9 and Malaysia MADANI.</w:t>
      </w:r>
    </w:p>
    <w:p>
      <w:r>
        <w:t>The citation coverage is acceptable: each listed technical reference is relevant to the implemented project, and the dataset citation is present. However, I recommend the following clean-up before final submission:</w:t>
      </w:r>
    </w:p>
    <w:p>
      <w:pPr>
        <w:pStyle w:val="ListBullet"/>
      </w:pPr>
      <w:r>
        <w:t>Check the year for Gonzalez and Woods, *Digital Image Processing* (4th ed.).</w:t>
      </w:r>
    </w:p>
    <w:p>
      <w:r>
        <w:t>The report uses 2017, while the ISBN 9781292223070 is commonly catalogued as the Pearson Global Edition published in 2018.</w:t>
      </w:r>
    </w:p>
    <w:p>
      <w:pPr>
        <w:pStyle w:val="ListBullet"/>
      </w:pPr>
      <w:r>
        <w:t>Keep both SOCOFing references only if the report intentionally cites both the</w:t>
      </w:r>
    </w:p>
    <w:p>
      <w:r>
        <w:t>original arXiv paper and the Kaggle dataset page. Otherwise, combine or remove one to avoid redundancy.</w:t>
      </w:r>
    </w:p>
    <w:p>
      <w:pPr>
        <w:pStyle w:val="ListBullet"/>
      </w:pPr>
      <w:r>
        <w:t>The United Nations SDG 9 page and Malaysia MADANI page are web pages; if your</w:t>
      </w:r>
    </w:p>
    <w:p>
      <w:r>
        <w:t>required citation style needs access dates, add retrieval dates.</w:t>
      </w:r>
    </w:p>
    <w:p>
      <w:pPr>
        <w:pStyle w:val="ListBullet"/>
      </w:pPr>
      <w:r>
        <w:t>Regenerate the Table of Contents after inserting the new validation and</w:t>
      </w:r>
    </w:p>
    <w:p>
      <w:r>
        <w:t>structural-evaluation material.</w:t>
      </w:r>
    </w:p>
    <w:p>
      <w:pPr>
        <w:pStyle w:val="Heading2"/>
      </w:pPr>
      <w:r>
        <w:t>Submission Package Check</w:t>
      </w:r>
    </w:p>
    <w:p>
      <w:r>
        <w:t>Files expected for a reproducible technical submission are present:</w:t>
      </w:r>
    </w:p>
    <w:p>
      <w:pPr>
        <w:pStyle w:val="ListBullet"/>
      </w:pPr>
      <w:r>
        <w:t>Main implementation: Fingerprint_Enhancement_System.py.</w:t>
      </w:r>
    </w:p>
    <w:p>
      <w:pPr>
        <w:pStyle w:val="ListBullet"/>
      </w:pPr>
      <w:r>
        <w:t>Streamlit prototype: app.py.</w:t>
      </w:r>
    </w:p>
    <w:p>
      <w:pPr>
        <w:pStyle w:val="ListBullet"/>
      </w:pPr>
      <w:r>
        <w:t>Notebook evidence: Fingerprint_Enhancement_System.ipynb.</w:t>
      </w:r>
    </w:p>
    <w:p>
      <w:pPr>
        <w:pStyle w:val="ListBullet"/>
      </w:pPr>
      <w:r>
        <w:t>Generated experiment outputs: outputs/final_mode_a/script/.</w:t>
      </w:r>
    </w:p>
    <w:p>
      <w:pPr>
        <w:pStyle w:val="ListBullet"/>
      </w:pPr>
      <w:r>
        <w:t>Requirements file: requirements.txt.</w:t>
      </w:r>
    </w:p>
    <w:p>
      <w:pPr>
        <w:pStyle w:val="ListBullet"/>
      </w:pPr>
      <w:r>
        <w:t>README: README.md.</w:t>
      </w:r>
    </w:p>
    <w:p>
      <w:pPr>
        <w:pStyle w:val="ListBullet"/>
      </w:pPr>
      <w:r>
        <w:t>Compiled report PDF.</w:t>
      </w:r>
    </w:p>
    <w:p>
      <w:r>
        <w:t>Items to verify before upload:</w:t>
      </w:r>
    </w:p>
    <w:p>
      <w:pPr>
        <w:pStyle w:val="ListBullet"/>
      </w:pPr>
      <w:r>
        <w:t>The workspace contains the SOCOFing image data locally. The report states that</w:t>
      </w:r>
    </w:p>
    <w:p>
      <w:r>
        <w:t>the dataset is cited rather than bundled with the submitted archive. If the submission rules prohibit bundling datasets, exclude the actual SOCOFing image folders and keep only the placeholder/instructions.</w:t>
      </w:r>
    </w:p>
    <w:p>
      <w:pPr>
        <w:pStyle w:val="ListBullet"/>
      </w:pPr>
      <w:r>
        <w:t>environment.yml is stricter than the tested local setup because it requires</w:t>
      </w:r>
    </w:p>
    <w:p>
      <w:r>
        <w:t>Python &gt;=3.14,&lt;3.15. The code was inspected using Python 3.12 with the installed package set. If graders use the conda environment file, consider loosening this to a version consistent with the tested runtime.</w:t>
      </w:r>
    </w:p>
    <w:p>
      <w:pPr>
        <w:pStyle w:val="ListBullet"/>
      </w:pPr>
      <w:r>
        <w:t>The current PDF is not the final version until Chapter 4 is updated and the</w:t>
      </w:r>
    </w:p>
    <w:p>
      <w:r>
        <w:t>Table of Contents is refreshed.</w:t>
      </w:r>
    </w:p>
    <w:p>
      <w:pPr>
        <w:pStyle w:val="Heading2"/>
      </w:pPr>
      <w:r>
        <w:t>Final Readiness Answer</w:t>
      </w:r>
    </w:p>
    <w:p>
      <w:r>
        <w:t>The project can fulfil the submission requirements after the Chapter 4 revision pack is applied and the final report formatting is refreshed. The experimental evidence is strong and traceable to code-generated outputs. The current PDF alone is not yet fully ready because it contains outdated Chapter 4 numerical results and missing validation/structural tables.</w:t>
      </w:r>
    </w:p>
    <w:p>
      <w:pPr>
        <w:pStyle w:val="Heading2"/>
      </w:pPr>
      <w:r>
        <w:t>External Reference Verification Sources</w:t>
      </w:r>
    </w:p>
    <w:p>
      <w:pPr>
        <w:pStyle w:val="ListBullet"/>
      </w:pPr>
      <w:r>
        <w:t>Buades et al. NLM paper: https://ieeexplore.ieee.org/document/1467423/</w:t>
      </w:r>
    </w:p>
    <w:p>
      <w:pPr>
        <w:pStyle w:val="ListBullet"/>
      </w:pPr>
      <w:r>
        <w:t>Chambolle TV paper: https://link.springer.com/article/10.1023/B:JMIV.0000011325.36760.1e</w:t>
      </w:r>
    </w:p>
    <w:p>
      <w:pPr>
        <w:pStyle w:val="ListBullet"/>
      </w:pPr>
      <w:r>
        <w:t>Hong, Wan, and Jain fingerprint enhancement paper: https://doi.org/10.1109/34.709565</w:t>
      </w:r>
    </w:p>
    <w:p>
      <w:pPr>
        <w:pStyle w:val="ListBullet"/>
      </w:pPr>
      <w:r>
        <w:t>SOCOFing arXiv paper: https://arxiv.org/abs/1807.10609</w:t>
      </w:r>
    </w:p>
    <w:p>
      <w:pPr>
        <w:pStyle w:val="ListBullet"/>
      </w:pPr>
      <w:r>
        <w:t>SOCOFing Kaggle dataset: https://www.kaggle.com/datasets/ruizgara/socofing</w:t>
      </w:r>
    </w:p>
    <w:p>
      <w:pPr>
        <w:pStyle w:val="ListBullet"/>
      </w:pPr>
      <w:r>
        <w:t>Wang et al. SSIM paper: https://ieeexplore.ieee.org/document/1284395</w:t>
      </w:r>
    </w:p>
    <w:p>
      <w:pPr>
        <w:pStyle w:val="ListBullet"/>
      </w:pPr>
      <w:r>
        <w:t>Weickert diffusion paper: https://link.springer.com/article/10.1023/A:1008009714131</w:t>
      </w:r>
    </w:p>
    <w:p>
      <w:pPr>
        <w:pStyle w:val="ListBullet"/>
      </w:pPr>
      <w:r>
        <w:t>United Nations SDG 9 page: https://sdgs.un.org/goals/goal9</w:t>
      </w:r>
    </w:p>
    <w:p>
      <w:pPr>
        <w:pStyle w:val="ListBullet"/>
      </w:pPr>
      <w:r>
        <w:t>Malaysia MADANI page: https://malaysiamadani.gov.my/pengenalan/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