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ombesörjer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A162F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7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231BFA">
              <w:rPr>
                <w:rFonts w:eastAsia="Calibri" w:cstheme="minorHAnsi"/>
              </w:rPr>
              <w:t>070-976 04 45/070-976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66F80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AA7F5B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AA7F5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866F80" w:rsidP="00647306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r w:rsidR="008D54F2">
              <w:rPr>
                <w:rFonts w:eastAsia="Calibri" w:cstheme="minorHAnsi"/>
              </w:rPr>
              <w:t>s</w:t>
            </w:r>
            <w:proofErr w:type="spellEnd"/>
            <w:r w:rsidR="008D54F2">
              <w:rPr>
                <w:rFonts w:eastAsia="Calibri" w:cstheme="minorHAnsi"/>
              </w:rPr>
              <w:t xml:space="preserve"> inköpsordernr/</w:t>
            </w:r>
            <w:proofErr w:type="spellStart"/>
            <w:r w:rsidR="008D54F2">
              <w:rPr>
                <w:rFonts w:eastAsia="Calibri" w:cstheme="minorHAnsi"/>
              </w:rPr>
              <w:t>refnr</w:t>
            </w:r>
            <w:proofErr w:type="spellEnd"/>
            <w:r w:rsidR="008D54F2">
              <w:rPr>
                <w:rFonts w:eastAsia="Calibri" w:cstheme="minorHAnsi"/>
              </w:rPr>
              <w:t xml:space="preserve"> på följesedel eller fraktsedel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Default="00866F80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866F80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31BFA">
              <w:rPr>
                <w:rFonts w:eastAsia="Calibri" w:cstheme="minorHAnsi"/>
              </w:rPr>
              <w:t>ar emot pallar och paket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 w:rsidP="00866F80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 xml:space="preserve">vikelser noteras på fraktsedel.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</w:t>
            </w:r>
            <w:r w:rsidR="00866F80">
              <w:rPr>
                <w:rFonts w:eastAsia="Calibri" w:cstheme="minorHAnsi"/>
              </w:rPr>
              <w:t>, batchnummer</w:t>
            </w:r>
            <w:r w:rsidR="009E4A2D" w:rsidRPr="00D76672">
              <w:rPr>
                <w:rFonts w:eastAsia="Calibri" w:cstheme="minorHAnsi"/>
              </w:rPr>
              <w:t xml:space="preserve">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proofErr w:type="spellStart"/>
            <w:r w:rsidR="00866F80">
              <w:rPr>
                <w:rFonts w:eastAsia="Calibri" w:cstheme="minorHAnsi"/>
              </w:rPr>
              <w:t>Selahatin</w:t>
            </w:r>
            <w:proofErr w:type="spellEnd"/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66F80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9D5D48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Inleveransstart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231BFA" w:rsidRDefault="003A6793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Inlev </w:t>
            </w:r>
            <w:r w:rsidR="00866F80">
              <w:rPr>
                <w:rFonts w:eastAsia="Calibri" w:cstheme="minorHAnsi"/>
              </w:rPr>
              <w:t xml:space="preserve">per pall (artikel- och </w:t>
            </w:r>
            <w:proofErr w:type="spellStart"/>
            <w:r w:rsidR="00866F80">
              <w:rPr>
                <w:rFonts w:eastAsia="Calibri" w:cstheme="minorHAnsi"/>
              </w:rPr>
              <w:t>batchren</w:t>
            </w:r>
            <w:proofErr w:type="spellEnd"/>
            <w:r w:rsidR="00866F80">
              <w:rPr>
                <w:rFonts w:eastAsia="Calibri" w:cstheme="minorHAnsi"/>
              </w:rPr>
              <w:t>) max 1,2m hög</w:t>
            </w:r>
          </w:p>
          <w:p w:rsidR="004B5297" w:rsidRPr="00D76672" w:rsidRDefault="009D5D48" w:rsidP="003A6793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Avvikelser och extra arbeten med Övr tjänster</w:t>
            </w:r>
            <w:r w:rsidR="003A6793">
              <w:rPr>
                <w:rFonts w:eastAsia="Calibri" w:cstheme="minorHAnsi"/>
              </w:rPr>
              <w:t>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235A4A" w:rsidRDefault="00235A4A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>använda lagerplatser</w:t>
            </w:r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66F80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6A1D" w:rsidRDefault="007F6A1D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Inrikes B2C</w:t>
            </w:r>
          </w:p>
          <w:p w:rsidR="007F6A1D" w:rsidRDefault="007F6A1D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B2C-o</w:t>
            </w:r>
            <w:r w:rsidRPr="00D76672">
              <w:rPr>
                <w:rFonts w:eastAsia="Calibri" w:cstheme="minorHAnsi"/>
              </w:rPr>
              <w:t>rder inkommen innan kl 1</w:t>
            </w:r>
            <w:r>
              <w:rPr>
                <w:rFonts w:eastAsia="Calibri" w:cstheme="minorHAnsi"/>
              </w:rPr>
              <w:t>3</w:t>
            </w:r>
            <w:r w:rsidRPr="00D76672">
              <w:rPr>
                <w:rFonts w:eastAsia="Calibri" w:cstheme="minorHAnsi"/>
              </w:rPr>
              <w:t xml:space="preserve">.00 i WMS-systemet skickas samma arbetsdag. </w:t>
            </w:r>
            <w:r>
              <w:rPr>
                <w:rFonts w:eastAsia="Calibri" w:cstheme="minorHAnsi"/>
              </w:rPr>
              <w:t>Order efter kl 13</w:t>
            </w:r>
            <w:r w:rsidRPr="00D76672">
              <w:rPr>
                <w:rFonts w:eastAsia="Calibri" w:cstheme="minorHAnsi"/>
              </w:rPr>
              <w:t xml:space="preserve">.00 skickas senast nästkommande arbetsdag.  </w:t>
            </w:r>
          </w:p>
          <w:p w:rsidR="007F6A1D" w:rsidRDefault="007F6A1D" w:rsidP="00866F80">
            <w:pPr>
              <w:spacing w:after="0" w:line="240" w:lineRule="auto"/>
              <w:rPr>
                <w:rFonts w:eastAsia="Calibri" w:cstheme="minorHAnsi"/>
              </w:rPr>
            </w:pPr>
          </w:p>
          <w:p w:rsidR="007F6A1D" w:rsidRDefault="007F6A1D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Utrikes B2C och alla B2B</w:t>
            </w:r>
          </w:p>
          <w:p w:rsidR="004B5297" w:rsidRPr="00D76672" w:rsidRDefault="00866F80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B2C-o</w:t>
            </w:r>
            <w:r w:rsidR="001B4277" w:rsidRPr="00D76672">
              <w:rPr>
                <w:rFonts w:eastAsia="Calibri" w:cstheme="minorHAnsi"/>
              </w:rPr>
              <w:t>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="001B4277" w:rsidRPr="00D76672">
              <w:rPr>
                <w:rFonts w:eastAsia="Calibri" w:cstheme="minorHAnsi"/>
              </w:rPr>
              <w:t xml:space="preserve"> innan kl 1</w:t>
            </w:r>
            <w:r>
              <w:rPr>
                <w:rFonts w:eastAsia="Calibri" w:cstheme="minorHAnsi"/>
              </w:rPr>
              <w:t>1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>
              <w:rPr>
                <w:rFonts w:eastAsia="Calibri" w:cstheme="minorHAnsi"/>
              </w:rPr>
              <w:t>Order efter kl 11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66F80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F80" w:rsidRPr="00D76672" w:rsidRDefault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Plockning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F80" w:rsidRDefault="00866F80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Batchnummer</w:t>
            </w:r>
            <w:proofErr w:type="spellEnd"/>
            <w:r>
              <w:rPr>
                <w:rFonts w:eastAsia="Calibri" w:cstheme="minorHAnsi"/>
              </w:rPr>
              <w:t xml:space="preserve"> registreras vid plock</w:t>
            </w:r>
            <w:r w:rsidR="004367E9">
              <w:rPr>
                <w:rFonts w:eastAsia="Calibri" w:cstheme="minorHAnsi"/>
              </w:rPr>
              <w:t>.</w:t>
            </w:r>
          </w:p>
          <w:p w:rsidR="004367E9" w:rsidRPr="00D76672" w:rsidRDefault="004367E9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Kunden </w:t>
            </w:r>
            <w:proofErr w:type="spellStart"/>
            <w:r>
              <w:rPr>
                <w:rFonts w:eastAsia="Calibri" w:cstheme="minorHAnsi"/>
              </w:rPr>
              <w:t>Zalando</w:t>
            </w:r>
            <w:proofErr w:type="spellEnd"/>
            <w:r>
              <w:rPr>
                <w:rFonts w:eastAsia="Calibri" w:cstheme="minorHAnsi"/>
              </w:rPr>
              <w:t xml:space="preserve"> ska vi sätta på ett klistermärke över datumet.</w:t>
            </w:r>
            <w:bookmarkStart w:id="0" w:name="_GoBack"/>
            <w:bookmarkEnd w:id="0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6F80" w:rsidRPr="00D76672" w:rsidRDefault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D54F2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7F6A1D" w:rsidP="007F6A1D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Wellemballage och fyllmaterial. Specialanpassat fraktemballage för B2C som tillhandahålls av </w:t>
            </w: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  <w:r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DB7E29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t xml:space="preserve">Skicka med frankering (porto). Det heter Börjes </w:t>
            </w:r>
            <w:proofErr w:type="spellStart"/>
            <w:r>
              <w:t>Förfrankerat</w:t>
            </w:r>
            <w:proofErr w:type="spellEnd"/>
            <w:r>
              <w:t>.</w:t>
            </w:r>
          </w:p>
          <w:p w:rsidR="00DB7E29" w:rsidRDefault="00DB7E29" w:rsidP="00DB7E29">
            <w:r>
              <w:t xml:space="preserve">Frankering innebär att vi inte skickar ordern till </w:t>
            </w:r>
            <w:proofErr w:type="spellStart"/>
            <w:r>
              <w:t>Unifaun</w:t>
            </w:r>
            <w:proofErr w:type="spellEnd"/>
            <w:r>
              <w:t xml:space="preserve">. Istället har Tobbe byggt ett litet etikettprogram så vi printar en etikett med mottagarens namn och adress. </w:t>
            </w:r>
            <w:r w:rsidR="0096442B">
              <w:t xml:space="preserve">Sätt ett kryss över </w:t>
            </w:r>
            <w:proofErr w:type="spellStart"/>
            <w:r w:rsidR="0096442B">
              <w:t>avsändareetiketten</w:t>
            </w:r>
            <w:proofErr w:type="spellEnd"/>
            <w:r w:rsidR="0096442B">
              <w:t>.</w:t>
            </w:r>
          </w:p>
          <w:p w:rsidR="00DB7E29" w:rsidRPr="0096442B" w:rsidRDefault="00DB7E29" w:rsidP="00DB7E29">
            <w:pPr>
              <w:spacing w:after="0" w:line="240" w:lineRule="auto"/>
            </w:pPr>
            <w:r>
              <w:t>Frankeringsetiketter med porto skri</w:t>
            </w:r>
            <w:r w:rsidR="0096442B">
              <w:t>ver ekonomi ut så lämnar till dem.</w:t>
            </w:r>
          </w:p>
          <w:p w:rsidR="00DB7E29" w:rsidRDefault="00DB7E29" w:rsidP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DB7E29" w:rsidRPr="00D76672" w:rsidRDefault="00DB7E29" w:rsidP="009D5D48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lastRenderedPageBreak/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7E29" w:rsidRDefault="00DB7E29" w:rsidP="00DB7E29">
            <w:r>
              <w:t xml:space="preserve">Frankerade och klara leveranser lämnas </w:t>
            </w:r>
            <w:r w:rsidR="0096442B">
              <w:t>sedan till</w:t>
            </w:r>
            <w:r>
              <w:t xml:space="preserve"> Josefine så lämnar hon de på postkontoret morgonen efter.</w:t>
            </w:r>
          </w:p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</w:t>
            </w:r>
            <w:r w:rsidR="0096442B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66F80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orderstart</w:t>
            </w:r>
          </w:p>
          <w:p w:rsidR="00866F80" w:rsidRPr="00D76672" w:rsidRDefault="00866F8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Per plock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866F80" w:rsidRPr="00866F80" w:rsidRDefault="003A6793" w:rsidP="00866F8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Emballage</w:t>
            </w:r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Ev övrigt extra arbete debiteras med </w:t>
            </w:r>
            <w:proofErr w:type="spellStart"/>
            <w:r w:rsidRPr="00D76672">
              <w:rPr>
                <w:rFonts w:eastAsia="Calibri" w:cstheme="minorHAnsi"/>
              </w:rPr>
              <w:t>Övr</w:t>
            </w:r>
            <w:proofErr w:type="spellEnd"/>
            <w:r w:rsidRPr="00D76672">
              <w:rPr>
                <w:rFonts w:eastAsia="Calibri" w:cstheme="minorHAnsi"/>
              </w:rPr>
              <w:t xml:space="preserve">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866F80" w:rsidRDefault="00866F80" w:rsidP="008D54F2">
      <w:pPr>
        <w:rPr>
          <w:rFonts w:cstheme="minorHAnsi"/>
          <w:b/>
          <w:sz w:val="28"/>
          <w:szCs w:val="28"/>
        </w:rPr>
      </w:pPr>
    </w:p>
    <w:p w:rsidR="00CA2658" w:rsidRDefault="00CA2658" w:rsidP="00CA26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Fraktmatris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Ordertyp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Brytpunkt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Land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Frakttjänst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 kg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Sverige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Postnord varubrev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&gt;1 kg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Sverige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Schenker Ombud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2 kg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World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wide</w:t>
            </w:r>
            <w:proofErr w:type="spellEnd"/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Postnord varubrev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 2 kg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Europa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 Standard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 2 kg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Utanför Europa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UPS Express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Saver</w:t>
            </w:r>
            <w:proofErr w:type="spellEnd"/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Sverige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Schenker 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Europa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 Standard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Utanför Europa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UPS Express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Saver</w:t>
            </w:r>
            <w:proofErr w:type="spellEnd"/>
          </w:p>
        </w:tc>
      </w:tr>
    </w:tbl>
    <w:p w:rsidR="00CA2658" w:rsidRDefault="00CA2658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8D54F2" w:rsidRDefault="008D54F2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8D54F2" w:rsidTr="00EC10B1">
        <w:tc>
          <w:tcPr>
            <w:tcW w:w="2043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Avisering</w:t>
            </w:r>
          </w:p>
        </w:tc>
        <w:tc>
          <w:tcPr>
            <w:tcW w:w="5875" w:type="dxa"/>
          </w:tcPr>
          <w:p w:rsidR="008D54F2" w:rsidRPr="00360940" w:rsidRDefault="008D54F2" w:rsidP="008D54F2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Meddelar BLS via mail vilken order som ska returneras, orsak och kundens mailadress (byte, ångerköp, reklamation).</w:t>
            </w:r>
          </w:p>
        </w:tc>
        <w:tc>
          <w:tcPr>
            <w:tcW w:w="1370" w:type="dxa"/>
          </w:tcPr>
          <w:p w:rsidR="008D54F2" w:rsidRDefault="00866F80" w:rsidP="00EC10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Selahatin</w:t>
            </w:r>
            <w:proofErr w:type="spellEnd"/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Fraktbokning</w:t>
            </w:r>
          </w:p>
        </w:tc>
        <w:tc>
          <w:tcPr>
            <w:tcW w:w="5875" w:type="dxa"/>
          </w:tcPr>
          <w:p w:rsidR="008D54F2" w:rsidRPr="00360940" w:rsidRDefault="00866F80" w:rsidP="00EC10B1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Skapar fraktetikett </w:t>
            </w:r>
            <w:r w:rsidR="008D54F2">
              <w:rPr>
                <w:rFonts w:cstheme="minorHAnsi"/>
              </w:rPr>
              <w:t>och mailar till kunden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Godsmottagning &amp; kontroll</w:t>
            </w:r>
          </w:p>
        </w:tc>
        <w:tc>
          <w:tcPr>
            <w:tcW w:w="5875" w:type="dxa"/>
          </w:tcPr>
          <w:p w:rsidR="008D54F2" w:rsidRPr="00360940" w:rsidRDefault="008D54F2" w:rsidP="00EC10B1">
            <w:pPr>
              <w:tabs>
                <w:tab w:val="left" w:pos="4230"/>
              </w:tabs>
              <w:rPr>
                <w:rFonts w:cstheme="minorHAnsi"/>
              </w:rPr>
            </w:pPr>
            <w:r w:rsidRPr="00360940">
              <w:rPr>
                <w:rFonts w:cstheme="minorHAnsi"/>
              </w:rPr>
              <w:t xml:space="preserve">Returen ankommer Nybro. Genomgång av </w:t>
            </w:r>
            <w:r>
              <w:rPr>
                <w:rFonts w:cstheme="minorHAnsi"/>
              </w:rPr>
              <w:t>varan. Se rubrik ”Godkänd vara”.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Ankomstregistrering</w:t>
            </w:r>
          </w:p>
        </w:tc>
        <w:tc>
          <w:tcPr>
            <w:tcW w:w="5875" w:type="dxa"/>
          </w:tcPr>
          <w:p w:rsidR="008D54F2" w:rsidRPr="009F6D1E" w:rsidRDefault="008D54F2" w:rsidP="00EC10B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4612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Återrapportering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Hämtar info om returer via WMS</w:t>
            </w:r>
          </w:p>
        </w:tc>
        <w:tc>
          <w:tcPr>
            <w:tcW w:w="1370" w:type="dxa"/>
          </w:tcPr>
          <w:p w:rsidR="008D54F2" w:rsidRDefault="00866F80" w:rsidP="00EC10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Selahatin</w:t>
            </w:r>
            <w:proofErr w:type="spellEnd"/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Ny order (vid byte eller ersättnings-leverans)</w:t>
            </w:r>
          </w:p>
        </w:tc>
        <w:tc>
          <w:tcPr>
            <w:tcW w:w="5875" w:type="dxa"/>
          </w:tcPr>
          <w:p w:rsidR="008D54F2" w:rsidRPr="00C43D08" w:rsidRDefault="008D54F2" w:rsidP="00EC10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Kundorder registreras i WMS enligt beskrivning under rubriken utleverans. </w:t>
            </w:r>
          </w:p>
          <w:p w:rsidR="008D54F2" w:rsidRPr="00C43D08" w:rsidRDefault="008D54F2" w:rsidP="00EC10B1">
            <w:pPr>
              <w:rPr>
                <w:rFonts w:cstheme="minorHAnsi"/>
                <w:b/>
              </w:rPr>
            </w:pPr>
          </w:p>
        </w:tc>
        <w:tc>
          <w:tcPr>
            <w:tcW w:w="1370" w:type="dxa"/>
          </w:tcPr>
          <w:p w:rsidR="008D54F2" w:rsidRDefault="00866F80" w:rsidP="00EC10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Selahatin</w:t>
            </w:r>
            <w:proofErr w:type="spellEnd"/>
          </w:p>
        </w:tc>
      </w:tr>
      <w:tr w:rsidR="008D54F2" w:rsidRPr="000F344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</w:t>
            </w:r>
            <w:r w:rsidR="00C21248">
              <w:rPr>
                <w:rFonts w:cstheme="minorHAnsi"/>
              </w:rPr>
              <w:t>:</w:t>
            </w:r>
          </w:p>
          <w:p w:rsidR="00C21248" w:rsidRDefault="00C21248" w:rsidP="00EC10B1">
            <w:pPr>
              <w:rPr>
                <w:rFonts w:cstheme="minorHAnsi"/>
              </w:rPr>
            </w:pPr>
          </w:p>
          <w:p w:rsidR="008D54F2" w:rsidRDefault="008D54F2" w:rsidP="00EC10B1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Med </w:t>
            </w:r>
            <w:r w:rsidR="005D4D88">
              <w:rPr>
                <w:rFonts w:cstheme="minorHAnsi"/>
              </w:rPr>
              <w:t xml:space="preserve">posten </w:t>
            </w:r>
            <w:proofErr w:type="spellStart"/>
            <w:r w:rsidR="005D4D88">
              <w:rPr>
                <w:rFonts w:cstheme="minorHAnsi"/>
              </w:rPr>
              <w:t>Övr</w:t>
            </w:r>
            <w:proofErr w:type="spellEnd"/>
            <w:r w:rsidR="005D4D88">
              <w:rPr>
                <w:rFonts w:cstheme="minorHAnsi"/>
              </w:rPr>
              <w:t xml:space="preserve"> tjänster</w:t>
            </w:r>
          </w:p>
          <w:p w:rsidR="00C21248" w:rsidRPr="00C21248" w:rsidRDefault="00C21248" w:rsidP="00EC10B1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Pr="00936E14" w:rsidRDefault="00936E14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Produkt med förpackning ska</w:t>
      </w:r>
      <w:r w:rsidRPr="00936E14">
        <w:rPr>
          <w:rFonts w:eastAsia="Calibri" w:cstheme="minorHAnsi"/>
        </w:rPr>
        <w:t xml:space="preserve"> vara hel och ren och </w:t>
      </w:r>
      <w:r w:rsidR="005D4D88">
        <w:rPr>
          <w:rFonts w:eastAsia="Calibri" w:cstheme="minorHAnsi"/>
        </w:rPr>
        <w:t xml:space="preserve">oöppnad. </w:t>
      </w: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08"/>
        <w:gridCol w:w="1442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66F80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proofErr w:type="spellStart"/>
            <w:r w:rsidR="00866F80">
              <w:rPr>
                <w:rFonts w:eastAsia="Calibri" w:cstheme="minorHAnsi"/>
              </w:rPr>
              <w:t>Selahatin</w:t>
            </w:r>
            <w:proofErr w:type="spellEnd"/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 xml:space="preserve">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proofErr w:type="spellStart"/>
            <w:r w:rsidR="00866F80">
              <w:rPr>
                <w:rFonts w:eastAsia="Calibri" w:cstheme="minorHAnsi"/>
              </w:rPr>
              <w:t>Selahatin</w:t>
            </w:r>
            <w:proofErr w:type="spellEnd"/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proofErr w:type="spellStart"/>
            <w:r w:rsidR="00866F80">
              <w:rPr>
                <w:rFonts w:eastAsia="Calibri" w:cstheme="minorHAnsi"/>
              </w:rPr>
              <w:t>Selahatin</w:t>
            </w:r>
            <w:proofErr w:type="spellEnd"/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</w:p>
    <w:p w:rsidR="005D4D88" w:rsidRDefault="005D4D88">
      <w:pPr>
        <w:spacing w:after="0" w:line="240" w:lineRule="auto"/>
        <w:rPr>
          <w:rFonts w:eastAsia="Calibri" w:cstheme="minorHAnsi"/>
          <w:b/>
          <w:sz w:val="28"/>
        </w:rPr>
      </w:pPr>
    </w:p>
    <w:p w:rsidR="005D4D88" w:rsidRDefault="005D4D88">
      <w:pPr>
        <w:spacing w:after="0" w:line="240" w:lineRule="auto"/>
        <w:rPr>
          <w:rFonts w:eastAsia="Calibri" w:cstheme="minorHAnsi"/>
          <w:b/>
          <w:sz w:val="28"/>
        </w:rPr>
      </w:pPr>
    </w:p>
    <w:p w:rsidR="005D4D88" w:rsidRDefault="005D4D88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36E14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Arbeten såsom tex extra sortering/märkning, godsspårning, reklamationshantering,</w:t>
            </w:r>
            <w:r w:rsidR="00895735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Lisa Philipsson</w:t>
            </w:r>
            <w:r w:rsidR="00F867FE"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 w:rsidP="00235A4A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</w:t>
            </w:r>
            <w:r w:rsidR="006F3BC3" w:rsidRPr="00936E14">
              <w:rPr>
                <w:rFonts w:eastAsia="Calibri" w:cstheme="minorHAnsi"/>
                <w:color w:val="000000" w:themeColor="text1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575C0">
            <w:pPr>
              <w:spacing w:after="0" w:line="240" w:lineRule="auto"/>
              <w:rPr>
                <w:rFonts w:eastAsia="Calibri" w:cstheme="minorHAnsi"/>
              </w:rPr>
            </w:pPr>
            <w:hyperlink r:id="rId8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lastRenderedPageBreak/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>mail ”logistik@borjes.com”</w:t>
      </w:r>
      <w:r w:rsidR="00A11387">
        <w:rPr>
          <w:rFonts w:eastAsia="Calibri" w:cstheme="minorHAnsi"/>
        </w:rPr>
        <w:t xml:space="preserve"> och via telefon 0481-75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44</w:t>
      </w:r>
      <w:r w:rsidRPr="00D76672">
        <w:rPr>
          <w:rFonts w:eastAsia="Calibri" w:cstheme="minorHAnsi"/>
        </w:rPr>
        <w:t xml:space="preserve">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5D4D88" w:rsidP="003A6793">
            <w:pPr>
              <w:rPr>
                <w:rFonts w:eastAsia="Times New Roman"/>
              </w:rPr>
            </w:pPr>
            <w:r>
              <w:rPr>
                <w:rFonts w:eastAsia="Times New Roman"/>
                <w:bCs/>
              </w:rPr>
              <w:t>Kristoffer Vural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5D4D88" w:rsidP="003A67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076-54 53 663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1F0960" w:rsidRDefault="005D4D88" w:rsidP="007F6A1D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kristoffer@</w:t>
            </w:r>
            <w:r w:rsidR="00CA2658">
              <w:rPr>
                <w:rFonts w:eastAsia="Calibri" w:cstheme="minorHAnsi"/>
              </w:rPr>
              <w:t>selahatin.com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</w:p>
    <w:sectPr w:rsidR="004B5297" w:rsidRPr="00D7667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5C0" w:rsidRDefault="009575C0" w:rsidP="00382413">
      <w:pPr>
        <w:spacing w:after="0" w:line="240" w:lineRule="auto"/>
      </w:pPr>
      <w:r>
        <w:separator/>
      </w:r>
    </w:p>
  </w:endnote>
  <w:endnote w:type="continuationSeparator" w:id="0">
    <w:p w:rsidR="009575C0" w:rsidRDefault="009575C0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5C0" w:rsidRDefault="009575C0" w:rsidP="00382413">
      <w:pPr>
        <w:spacing w:after="0" w:line="240" w:lineRule="auto"/>
      </w:pPr>
      <w:r>
        <w:separator/>
      </w:r>
    </w:p>
  </w:footnote>
  <w:footnote w:type="continuationSeparator" w:id="0">
    <w:p w:rsidR="009575C0" w:rsidRDefault="009575C0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866F80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proofErr w:type="spellStart"/>
          <w:r>
            <w:rPr>
              <w:rFonts w:ascii="Arial" w:hAnsi="Arial"/>
            </w:rPr>
            <w:t>Selahatin</w:t>
          </w:r>
          <w:proofErr w:type="spellEnd"/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866F80">
            <w:rPr>
              <w:rFonts w:ascii="Arial" w:hAnsi="Arial"/>
            </w:rPr>
            <w:t>11-21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AA7F5B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Pr="008D54F2">
            <w:rPr>
              <w:rFonts w:ascii="Arial" w:hAnsi="Arial"/>
              <w:b/>
              <w:i/>
            </w:rPr>
            <w:br/>
          </w:r>
          <w:r w:rsidR="00AA7F5B" w:rsidRPr="008D54F2">
            <w:rPr>
              <w:rFonts w:ascii="Arial" w:hAnsi="Arial"/>
            </w:rPr>
            <w:t>Lisa Philipsson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8D54F2" w:rsidRDefault="008D54F2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8D54F2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FC4790"/>
    <w:multiLevelType w:val="hybridMultilevel"/>
    <w:tmpl w:val="BC86E72A"/>
    <w:lvl w:ilvl="0" w:tplc="FDA8CB6E">
      <w:start w:val="7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97"/>
    <w:rsid w:val="000F15E5"/>
    <w:rsid w:val="00143B2D"/>
    <w:rsid w:val="001B10A3"/>
    <w:rsid w:val="001B4277"/>
    <w:rsid w:val="001F0960"/>
    <w:rsid w:val="001F3665"/>
    <w:rsid w:val="00231BFA"/>
    <w:rsid w:val="00235A4A"/>
    <w:rsid w:val="00257B0A"/>
    <w:rsid w:val="00277C44"/>
    <w:rsid w:val="003803E0"/>
    <w:rsid w:val="00382413"/>
    <w:rsid w:val="003A6793"/>
    <w:rsid w:val="003B3F1E"/>
    <w:rsid w:val="003F111B"/>
    <w:rsid w:val="004229F1"/>
    <w:rsid w:val="0043363A"/>
    <w:rsid w:val="004367E9"/>
    <w:rsid w:val="004637F4"/>
    <w:rsid w:val="00463CD9"/>
    <w:rsid w:val="004B5297"/>
    <w:rsid w:val="004F4626"/>
    <w:rsid w:val="00501528"/>
    <w:rsid w:val="00567E2D"/>
    <w:rsid w:val="005839D2"/>
    <w:rsid w:val="005D4D88"/>
    <w:rsid w:val="00647306"/>
    <w:rsid w:val="00663827"/>
    <w:rsid w:val="006D240F"/>
    <w:rsid w:val="006F3BC3"/>
    <w:rsid w:val="0072045A"/>
    <w:rsid w:val="007F6A1D"/>
    <w:rsid w:val="00806B23"/>
    <w:rsid w:val="00866F80"/>
    <w:rsid w:val="00895735"/>
    <w:rsid w:val="008C6BA0"/>
    <w:rsid w:val="008D54F2"/>
    <w:rsid w:val="00936E14"/>
    <w:rsid w:val="009575C0"/>
    <w:rsid w:val="00962802"/>
    <w:rsid w:val="0096442B"/>
    <w:rsid w:val="009D5D48"/>
    <w:rsid w:val="009E4A2D"/>
    <w:rsid w:val="009F6E15"/>
    <w:rsid w:val="00A11387"/>
    <w:rsid w:val="00A162FC"/>
    <w:rsid w:val="00A16CBE"/>
    <w:rsid w:val="00A70586"/>
    <w:rsid w:val="00A70958"/>
    <w:rsid w:val="00AA7F5B"/>
    <w:rsid w:val="00AE4006"/>
    <w:rsid w:val="00B576A2"/>
    <w:rsid w:val="00B74430"/>
    <w:rsid w:val="00BE4A4F"/>
    <w:rsid w:val="00C21248"/>
    <w:rsid w:val="00C30DB1"/>
    <w:rsid w:val="00C84D11"/>
    <w:rsid w:val="00C948B0"/>
    <w:rsid w:val="00C94DB2"/>
    <w:rsid w:val="00CA2658"/>
    <w:rsid w:val="00D76672"/>
    <w:rsid w:val="00DB7E29"/>
    <w:rsid w:val="00DD43BB"/>
    <w:rsid w:val="00E36536"/>
    <w:rsid w:val="00ED76CC"/>
    <w:rsid w:val="00F43EE2"/>
    <w:rsid w:val="00F62E2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E4E1"/>
  <w15:docId w15:val="{CD3A8E0E-E39D-4BCA-A864-6C9FEF84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980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2017-02-10T13:41:00Z</dcterms:created>
  <dcterms:modified xsi:type="dcterms:W3CDTF">2018-03-22T14:35:00Z</dcterms:modified>
</cp:coreProperties>
</file>