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004E99" w14:textId="4DA053F4" w:rsidR="007F465A" w:rsidRPr="00D72822" w:rsidRDefault="007F465A" w:rsidP="007F465A">
      <w:pPr>
        <w:ind w:left="720" w:hanging="360"/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203CEE7A" w14:textId="34D5273F" w:rsidR="00F04158" w:rsidRPr="00D72822" w:rsidRDefault="000257C5" w:rsidP="007F465A">
      <w:pPr>
        <w:pStyle w:val="Akapitzlist"/>
        <w:numPr>
          <w:ilvl w:val="0"/>
          <w:numId w:val="1"/>
        </w:numPr>
        <w:rPr>
          <w:rFonts w:ascii="Courier New" w:hAnsi="Courier New" w:cs="Courier New"/>
          <w:color w:val="1F3864" w:themeColor="accent1" w:themeShade="80"/>
          <w:sz w:val="28"/>
          <w:szCs w:val="28"/>
        </w:rPr>
      </w:pPr>
      <w:r w:rsidRPr="00D72822">
        <w:rPr>
          <w:rFonts w:ascii="Courier New" w:hAnsi="Courier New" w:cs="Courier New"/>
          <w:noProof/>
          <w:color w:val="1F3864" w:themeColor="accent1" w:themeShade="8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1C4CF2B" wp14:editId="3C4EA53A">
            <wp:simplePos x="0" y="0"/>
            <wp:positionH relativeFrom="margin">
              <wp:align>center</wp:align>
            </wp:positionH>
            <wp:positionV relativeFrom="paragraph">
              <wp:posOffset>148590</wp:posOffset>
            </wp:positionV>
            <wp:extent cx="4404862" cy="2202432"/>
            <wp:effectExtent l="0" t="0" r="0" b="0"/>
            <wp:wrapNone/>
            <wp:docPr id="1" name="Graf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862" cy="220243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465A" w:rsidRPr="00D72822">
        <w:rPr>
          <w:rFonts w:ascii="Courier New" w:hAnsi="Courier New" w:cs="Courier New"/>
          <w:color w:val="1F3864" w:themeColor="accent1" w:themeShade="80"/>
          <w:sz w:val="28"/>
          <w:szCs w:val="28"/>
        </w:rPr>
        <w:t>Tytuł/logo projektu:</w:t>
      </w:r>
    </w:p>
    <w:p w14:paraId="220D1063" w14:textId="1F8462F5" w:rsidR="007F465A" w:rsidRPr="00D72822" w:rsidRDefault="007F465A">
      <w:pPr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2B5250C7" w14:textId="499DD89C" w:rsidR="007F465A" w:rsidRPr="00D72822" w:rsidRDefault="007F465A">
      <w:pPr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46F67F98" w14:textId="7EC45148" w:rsidR="007F465A" w:rsidRPr="00D72822" w:rsidRDefault="007F465A">
      <w:pPr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34D74943" w14:textId="32820B45" w:rsidR="007F465A" w:rsidRPr="00D72822" w:rsidRDefault="007F465A">
      <w:pPr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39E28126" w14:textId="2BF9A664" w:rsidR="007F465A" w:rsidRPr="00D72822" w:rsidRDefault="007F465A">
      <w:pPr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18E3BE4B" w14:textId="4564AB83" w:rsidR="007F465A" w:rsidRPr="00D72822" w:rsidRDefault="007F465A">
      <w:pPr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7314CBE8" w14:textId="27B7150E" w:rsidR="007F465A" w:rsidRPr="00D72822" w:rsidRDefault="007F465A">
      <w:pPr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3C5C8273" w14:textId="27B72063" w:rsidR="007F465A" w:rsidRPr="00D72822" w:rsidRDefault="007F465A">
      <w:pPr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1B05AF7D" w14:textId="6930D38A" w:rsidR="007F465A" w:rsidRDefault="00D72822" w:rsidP="00D72822">
      <w:pPr>
        <w:pStyle w:val="Akapitzlist"/>
        <w:numPr>
          <w:ilvl w:val="0"/>
          <w:numId w:val="2"/>
        </w:numPr>
        <w:rPr>
          <w:rFonts w:ascii="Courier New" w:hAnsi="Courier New" w:cs="Courier New"/>
          <w:color w:val="1F3864" w:themeColor="accent1" w:themeShade="80"/>
          <w:sz w:val="28"/>
          <w:szCs w:val="28"/>
        </w:rPr>
      </w:pPr>
      <w:r w:rsidRPr="00D72822">
        <w:rPr>
          <w:rFonts w:ascii="Courier New" w:hAnsi="Courier New" w:cs="Courier New"/>
          <w:color w:val="1F3864" w:themeColor="accent1" w:themeShade="80"/>
          <w:sz w:val="28"/>
          <w:szCs w:val="28"/>
        </w:rPr>
        <w:t>Zał</w:t>
      </w:r>
      <w:r>
        <w:rPr>
          <w:rFonts w:ascii="Courier New" w:hAnsi="Courier New" w:cs="Courier New"/>
          <w:color w:val="1F3864" w:themeColor="accent1" w:themeShade="80"/>
          <w:sz w:val="28"/>
          <w:szCs w:val="28"/>
        </w:rPr>
        <w:t>ożenia projektu:</w:t>
      </w:r>
    </w:p>
    <w:p w14:paraId="1130387E" w14:textId="7DAB5952" w:rsidR="00D72822" w:rsidRDefault="00D72822" w:rsidP="00D72822">
      <w:pPr>
        <w:pStyle w:val="Akapitzlist"/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318EA7E9" w14:textId="50DF4E21" w:rsidR="00114714" w:rsidRDefault="00114714" w:rsidP="00114714">
      <w:pPr>
        <w:pStyle w:val="Akapitzlist"/>
        <w:numPr>
          <w:ilvl w:val="0"/>
          <w:numId w:val="3"/>
        </w:numPr>
        <w:rPr>
          <w:rFonts w:ascii="Courier New" w:hAnsi="Courier New" w:cs="Courier New"/>
          <w:color w:val="1F3864" w:themeColor="accent1" w:themeShade="80"/>
          <w:sz w:val="28"/>
          <w:szCs w:val="28"/>
        </w:rPr>
      </w:pPr>
      <w:r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 Gatunek: </w:t>
      </w:r>
      <w:r w:rsidR="008F2F2B">
        <w:rPr>
          <w:rFonts w:ascii="Courier New" w:hAnsi="Courier New" w:cs="Courier New"/>
          <w:color w:val="1F3864" w:themeColor="accent1" w:themeShade="80"/>
          <w:sz w:val="28"/>
          <w:szCs w:val="28"/>
        </w:rPr>
        <w:t>Gra platformowa</w:t>
      </w:r>
      <w:r w:rsidR="00A07DAE"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 </w:t>
      </w:r>
      <w:r w:rsidR="00E448BF">
        <w:rPr>
          <w:rFonts w:ascii="Courier New" w:hAnsi="Courier New" w:cs="Courier New"/>
          <w:color w:val="1F3864" w:themeColor="accent1" w:themeShade="80"/>
          <w:sz w:val="28"/>
          <w:szCs w:val="28"/>
        </w:rPr>
        <w:t>–</w:t>
      </w:r>
      <w:r w:rsidR="00A07DAE"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 </w:t>
      </w:r>
      <w:r w:rsidR="00E448BF"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Gra zręcznościowa której głównym założeniem jest </w:t>
      </w:r>
      <w:r w:rsidR="0087396F">
        <w:rPr>
          <w:rFonts w:ascii="Courier New" w:hAnsi="Courier New" w:cs="Courier New"/>
          <w:color w:val="1F3864" w:themeColor="accent1" w:themeShade="80"/>
          <w:sz w:val="28"/>
          <w:szCs w:val="28"/>
        </w:rPr>
        <w:t>poruszanie się bohaterem po wielu urozmaiconych poziomach.</w:t>
      </w:r>
      <w:r w:rsidR="00456B6F"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 Podstawą będzie unikanie bądź likwidacja </w:t>
      </w:r>
      <w:r w:rsidR="000B2AD3"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przeciwników, a także </w:t>
      </w:r>
      <w:r w:rsidR="004B12B9">
        <w:rPr>
          <w:rFonts w:ascii="Courier New" w:hAnsi="Courier New" w:cs="Courier New"/>
          <w:color w:val="1F3864" w:themeColor="accent1" w:themeShade="80"/>
          <w:sz w:val="28"/>
          <w:szCs w:val="28"/>
        </w:rPr>
        <w:t>zbieraniu kryształów lub innych nagród dostępnych na poziomach.</w:t>
      </w:r>
    </w:p>
    <w:p w14:paraId="21C51E75" w14:textId="77777777" w:rsidR="00885B35" w:rsidRDefault="00885B35" w:rsidP="00885B35">
      <w:pPr>
        <w:pStyle w:val="Akapitzlist"/>
        <w:ind w:left="1440"/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32B9992C" w14:textId="58E30A1B" w:rsidR="007908D0" w:rsidRDefault="00BE4657" w:rsidP="00114714">
      <w:pPr>
        <w:pStyle w:val="Akapitzlist"/>
        <w:numPr>
          <w:ilvl w:val="0"/>
          <w:numId w:val="3"/>
        </w:numPr>
        <w:rPr>
          <w:rFonts w:ascii="Courier New" w:hAnsi="Courier New" w:cs="Courier New"/>
          <w:color w:val="1F3864" w:themeColor="accent1" w:themeShade="80"/>
          <w:sz w:val="28"/>
          <w:szCs w:val="28"/>
        </w:rPr>
      </w:pPr>
      <w:r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 Sterowanie: </w:t>
      </w:r>
      <w:r w:rsidR="006D0B4C"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Poruszanie się postaci przy pomocy klawiszy </w:t>
      </w:r>
      <w:r w:rsidR="007842BB">
        <w:rPr>
          <w:rFonts w:ascii="Courier New" w:hAnsi="Courier New" w:cs="Courier New"/>
          <w:color w:val="1F3864" w:themeColor="accent1" w:themeShade="80"/>
          <w:sz w:val="28"/>
          <w:szCs w:val="28"/>
        </w:rPr>
        <w:t>– W</w:t>
      </w:r>
      <w:r w:rsidR="000B39D2"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, </w:t>
      </w:r>
      <w:r w:rsidR="007842BB">
        <w:rPr>
          <w:rFonts w:ascii="Courier New" w:hAnsi="Courier New" w:cs="Courier New"/>
          <w:color w:val="1F3864" w:themeColor="accent1" w:themeShade="80"/>
          <w:sz w:val="28"/>
          <w:szCs w:val="28"/>
        </w:rPr>
        <w:t>A</w:t>
      </w:r>
      <w:r w:rsidR="000B39D2"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, </w:t>
      </w:r>
      <w:r w:rsidR="007842BB">
        <w:rPr>
          <w:rFonts w:ascii="Courier New" w:hAnsi="Courier New" w:cs="Courier New"/>
          <w:color w:val="1F3864" w:themeColor="accent1" w:themeShade="80"/>
          <w:sz w:val="28"/>
          <w:szCs w:val="28"/>
        </w:rPr>
        <w:t>S</w:t>
      </w:r>
      <w:r w:rsidR="000B39D2"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, </w:t>
      </w:r>
      <w:r w:rsidR="007842BB">
        <w:rPr>
          <w:rFonts w:ascii="Courier New" w:hAnsi="Courier New" w:cs="Courier New"/>
          <w:color w:val="1F3864" w:themeColor="accent1" w:themeShade="80"/>
          <w:sz w:val="28"/>
          <w:szCs w:val="28"/>
        </w:rPr>
        <w:t>D -, skakanie – SPACE BAR -</w:t>
      </w:r>
      <w:r w:rsidR="00A442BE"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, a także umiejętności specjalne postaci </w:t>
      </w:r>
      <w:r w:rsidR="000B39D2"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służące głównie do niszczenia obiektów </w:t>
      </w:r>
      <w:r w:rsidR="0065305D">
        <w:rPr>
          <w:rFonts w:ascii="Courier New" w:hAnsi="Courier New" w:cs="Courier New"/>
          <w:color w:val="1F3864" w:themeColor="accent1" w:themeShade="80"/>
          <w:sz w:val="28"/>
          <w:szCs w:val="28"/>
        </w:rPr>
        <w:t>– LPM, PPM.</w:t>
      </w:r>
    </w:p>
    <w:p w14:paraId="50E8DD1B" w14:textId="77777777" w:rsidR="00922523" w:rsidRPr="00922523" w:rsidRDefault="00922523" w:rsidP="00922523">
      <w:pPr>
        <w:pStyle w:val="Akapitzlist"/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19078793" w14:textId="77777777" w:rsidR="00922523" w:rsidRDefault="00922523" w:rsidP="00922523">
      <w:pPr>
        <w:pStyle w:val="Akapitzlist"/>
        <w:ind w:left="1440"/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33DD1458" w14:textId="585ADB19" w:rsidR="007977B7" w:rsidRDefault="007977B7" w:rsidP="00114714">
      <w:pPr>
        <w:pStyle w:val="Akapitzlist"/>
        <w:numPr>
          <w:ilvl w:val="0"/>
          <w:numId w:val="3"/>
        </w:numPr>
        <w:rPr>
          <w:rFonts w:ascii="Courier New" w:hAnsi="Courier New" w:cs="Courier New"/>
          <w:color w:val="1F3864" w:themeColor="accent1" w:themeShade="80"/>
          <w:sz w:val="28"/>
          <w:szCs w:val="28"/>
        </w:rPr>
      </w:pPr>
      <w:r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 Cel: </w:t>
      </w:r>
      <w:r w:rsidR="00491EEE"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Odblokowywanie i przechodzenie kolejno poziomów </w:t>
      </w:r>
      <w:r w:rsidR="00885B35">
        <w:rPr>
          <w:rFonts w:ascii="Courier New" w:hAnsi="Courier New" w:cs="Courier New"/>
          <w:color w:val="1F3864" w:themeColor="accent1" w:themeShade="80"/>
          <w:sz w:val="28"/>
          <w:szCs w:val="28"/>
        </w:rPr>
        <w:t>zbierając dostępne obiekty</w:t>
      </w:r>
      <w:r w:rsidR="00C2382C"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 przy czym niektóre z etapów posiadają sekcje ukryte. </w:t>
      </w:r>
      <w:r w:rsidR="00012478"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Aby się do niej dostać wymagane będzie znalezienie ukrytej „znajdźki” na </w:t>
      </w:r>
      <w:r w:rsidR="00922523">
        <w:rPr>
          <w:rFonts w:ascii="Courier New" w:hAnsi="Courier New" w:cs="Courier New"/>
          <w:color w:val="1F3864" w:themeColor="accent1" w:themeShade="80"/>
          <w:sz w:val="28"/>
          <w:szCs w:val="28"/>
        </w:rPr>
        <w:t>danym poziomie. Ostatecznie celem będzie pokonanie głównego wroga.</w:t>
      </w:r>
    </w:p>
    <w:p w14:paraId="30943E07" w14:textId="608BD943" w:rsidR="00922523" w:rsidRDefault="00922523" w:rsidP="00922523">
      <w:pPr>
        <w:pStyle w:val="Akapitzlist"/>
        <w:ind w:left="1440"/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701ACAC9" w14:textId="77777777" w:rsidR="00C56751" w:rsidRDefault="00C56751" w:rsidP="00922523">
      <w:pPr>
        <w:pStyle w:val="Akapitzlist"/>
        <w:ind w:left="1440"/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37419610" w14:textId="0CBA8A62" w:rsidR="005A7421" w:rsidRDefault="00922523" w:rsidP="005A7421">
      <w:pPr>
        <w:pStyle w:val="Akapitzlist"/>
        <w:numPr>
          <w:ilvl w:val="0"/>
          <w:numId w:val="3"/>
        </w:numPr>
        <w:rPr>
          <w:rFonts w:ascii="Courier New" w:hAnsi="Courier New" w:cs="Courier New"/>
          <w:color w:val="1F3864" w:themeColor="accent1" w:themeShade="80"/>
          <w:sz w:val="28"/>
          <w:szCs w:val="28"/>
        </w:rPr>
      </w:pPr>
      <w:r>
        <w:rPr>
          <w:rFonts w:ascii="Courier New" w:hAnsi="Courier New" w:cs="Courier New"/>
          <w:color w:val="1F3864" w:themeColor="accent1" w:themeShade="80"/>
          <w:sz w:val="28"/>
          <w:szCs w:val="28"/>
        </w:rPr>
        <w:lastRenderedPageBreak/>
        <w:t xml:space="preserve"> Zakończenie:</w:t>
      </w:r>
      <w:r w:rsidR="00B3197C"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 Jedno zakończenie</w:t>
      </w:r>
      <w:r w:rsidR="005175ED"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 pozytywne</w:t>
      </w:r>
      <w:r w:rsidR="0030315D"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 pokonania głównego przeciwnika</w:t>
      </w:r>
      <w:r w:rsidR="000D251B"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. Zakończenie to może być rozszerzone o pewną dawkę </w:t>
      </w:r>
      <w:r w:rsidR="00150B31"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informacji pod warunkiem przejścia etapów zbierając wszystkie dostępne </w:t>
      </w:r>
      <w:r w:rsidR="00842773">
        <w:rPr>
          <w:rFonts w:ascii="Courier New" w:hAnsi="Courier New" w:cs="Courier New"/>
          <w:color w:val="1F3864" w:themeColor="accent1" w:themeShade="80"/>
          <w:sz w:val="28"/>
          <w:szCs w:val="28"/>
        </w:rPr>
        <w:t>obiekty</w:t>
      </w:r>
      <w:r w:rsidR="00A51B02">
        <w:rPr>
          <w:rFonts w:ascii="Courier New" w:hAnsi="Courier New" w:cs="Courier New"/>
          <w:color w:val="1F3864" w:themeColor="accent1" w:themeShade="80"/>
          <w:sz w:val="28"/>
          <w:szCs w:val="28"/>
        </w:rPr>
        <w:t>. Wiąże się to również z zebraniem wszystkich dostępnych „znajdziek” i ukończeniu sekcji bonusowych/dodatkowych.</w:t>
      </w:r>
      <w:r w:rsidR="005A7421"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 Zakończenie negatywne – wyczerpanie wszystkich dostępnych żyć postaci.</w:t>
      </w:r>
    </w:p>
    <w:p w14:paraId="33EFE0B4" w14:textId="77777777" w:rsidR="00B869E0" w:rsidRPr="00B869E0" w:rsidRDefault="00B869E0" w:rsidP="00B869E0">
      <w:pPr>
        <w:pStyle w:val="Akapitzlist"/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6B5B9855" w14:textId="1E1EBCE9" w:rsidR="00B869E0" w:rsidRDefault="00B869E0" w:rsidP="00B869E0">
      <w:pPr>
        <w:pStyle w:val="Akapitzlist"/>
        <w:numPr>
          <w:ilvl w:val="0"/>
          <w:numId w:val="3"/>
        </w:numPr>
        <w:rPr>
          <w:rFonts w:ascii="Courier New" w:hAnsi="Courier New" w:cs="Courier New"/>
          <w:color w:val="1F3864" w:themeColor="accent1" w:themeShade="80"/>
          <w:sz w:val="28"/>
          <w:szCs w:val="28"/>
        </w:rPr>
      </w:pPr>
      <w:r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 Grupa wiekowa – Gra kierowana do </w:t>
      </w:r>
      <w:r w:rsidR="00D67B5A">
        <w:rPr>
          <w:rFonts w:ascii="Courier New" w:hAnsi="Courier New" w:cs="Courier New"/>
          <w:color w:val="1F3864" w:themeColor="accent1" w:themeShade="80"/>
          <w:sz w:val="28"/>
          <w:szCs w:val="28"/>
        </w:rPr>
        <w:t>osób powyżej 12 roku życia.</w:t>
      </w:r>
    </w:p>
    <w:p w14:paraId="28AE0E34" w14:textId="77777777" w:rsidR="00D67B5A" w:rsidRPr="00D67B5A" w:rsidRDefault="00D67B5A" w:rsidP="00D67B5A">
      <w:pPr>
        <w:pStyle w:val="Akapitzlist"/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1C41F058" w14:textId="6A4653C1" w:rsidR="00D67B5A" w:rsidRDefault="00D67B5A" w:rsidP="00B869E0">
      <w:pPr>
        <w:pStyle w:val="Akapitzlist"/>
        <w:numPr>
          <w:ilvl w:val="0"/>
          <w:numId w:val="3"/>
        </w:numPr>
        <w:rPr>
          <w:rFonts w:ascii="Courier New" w:hAnsi="Courier New" w:cs="Courier New"/>
          <w:color w:val="1F3864" w:themeColor="accent1" w:themeShade="80"/>
          <w:sz w:val="28"/>
          <w:szCs w:val="28"/>
        </w:rPr>
      </w:pPr>
      <w:r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Kolorystyka – Ciepła kolorystyka, szeroka paleta kolorów pasująca do </w:t>
      </w:r>
      <w:r w:rsidR="009B60C6">
        <w:rPr>
          <w:rFonts w:ascii="Courier New" w:hAnsi="Courier New" w:cs="Courier New"/>
          <w:color w:val="1F3864" w:themeColor="accent1" w:themeShade="80"/>
          <w:sz w:val="28"/>
          <w:szCs w:val="28"/>
        </w:rPr>
        <w:t>gry przygodowej.</w:t>
      </w:r>
    </w:p>
    <w:p w14:paraId="7BFC5A8B" w14:textId="77777777" w:rsidR="009B60C6" w:rsidRPr="009B60C6" w:rsidRDefault="009B60C6" w:rsidP="009B60C6">
      <w:pPr>
        <w:pStyle w:val="Akapitzlist"/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201FEC69" w14:textId="30A2B8BB" w:rsidR="007F465A" w:rsidRDefault="00E9633D" w:rsidP="00AC244E">
      <w:pPr>
        <w:pStyle w:val="Akapitzlist"/>
        <w:numPr>
          <w:ilvl w:val="0"/>
          <w:numId w:val="3"/>
        </w:numPr>
        <w:rPr>
          <w:rFonts w:ascii="Courier New" w:hAnsi="Courier New" w:cs="Courier New"/>
          <w:color w:val="1F3864" w:themeColor="accent1" w:themeShade="80"/>
          <w:sz w:val="28"/>
          <w:szCs w:val="28"/>
        </w:rPr>
      </w:pPr>
      <w:r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 Urozmaicenia </w:t>
      </w:r>
      <w:r w:rsidR="009D5885">
        <w:rPr>
          <w:rFonts w:ascii="Courier New" w:hAnsi="Courier New" w:cs="Courier New"/>
          <w:color w:val="1F3864" w:themeColor="accent1" w:themeShade="80"/>
          <w:sz w:val="28"/>
          <w:szCs w:val="28"/>
        </w:rPr>
        <w:t>–</w:t>
      </w:r>
      <w:r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 </w:t>
      </w:r>
      <w:r w:rsidR="008866CC"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Przeskakiwanie przeszkód, naskakiwanie na obiekty czy też przeciwników </w:t>
      </w:r>
      <w:r w:rsidR="00AC244E"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w celu ich pokonania. </w:t>
      </w:r>
      <w:r w:rsidR="009D5885">
        <w:rPr>
          <w:rFonts w:ascii="Courier New" w:hAnsi="Courier New" w:cs="Courier New"/>
          <w:color w:val="1F3864" w:themeColor="accent1" w:themeShade="80"/>
          <w:sz w:val="28"/>
          <w:szCs w:val="28"/>
        </w:rPr>
        <w:t>Etap w którym należy się poruszać w stronę ekranu.</w:t>
      </w:r>
    </w:p>
    <w:p w14:paraId="3D0162EC" w14:textId="77777777" w:rsidR="00AC244E" w:rsidRPr="00AC244E" w:rsidRDefault="00AC244E" w:rsidP="00AC244E">
      <w:pPr>
        <w:pStyle w:val="Akapitzlist"/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6D95BBD1" w14:textId="29356BE9" w:rsidR="00AC244E" w:rsidRDefault="001F6503" w:rsidP="00AC244E">
      <w:pPr>
        <w:pStyle w:val="Akapitzlist"/>
        <w:numPr>
          <w:ilvl w:val="0"/>
          <w:numId w:val="3"/>
        </w:numPr>
        <w:rPr>
          <w:rFonts w:ascii="Courier New" w:hAnsi="Courier New" w:cs="Courier New"/>
          <w:color w:val="1F3864" w:themeColor="accent1" w:themeShade="80"/>
          <w:sz w:val="28"/>
          <w:szCs w:val="28"/>
        </w:rPr>
      </w:pPr>
      <w:r>
        <w:rPr>
          <w:rFonts w:ascii="Courier New" w:hAnsi="Courier New" w:cs="Courier New"/>
          <w:color w:val="1F3864" w:themeColor="accent1" w:themeShade="80"/>
          <w:sz w:val="28"/>
          <w:szCs w:val="28"/>
        </w:rPr>
        <w:t xml:space="preserve"> Inspiracje: Crash Bandicoot część 2.</w:t>
      </w:r>
    </w:p>
    <w:p w14:paraId="0179A1C4" w14:textId="46F1A43E" w:rsidR="001F6503" w:rsidRPr="001F6503" w:rsidRDefault="0003320D" w:rsidP="001F6503">
      <w:pPr>
        <w:rPr>
          <w:rFonts w:ascii="Courier New" w:hAnsi="Courier New" w:cs="Courier New"/>
          <w:color w:val="1F3864" w:themeColor="accent1" w:themeShade="80"/>
          <w:sz w:val="28"/>
          <w:szCs w:val="28"/>
        </w:rPr>
      </w:pPr>
      <w:r>
        <w:rPr>
          <w:rFonts w:ascii="Courier New" w:hAnsi="Courier New" w:cs="Courier New"/>
          <w:noProof/>
          <w:color w:val="1F3864" w:themeColor="accent1" w:themeShade="8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D434025" wp14:editId="066A3D9A">
            <wp:simplePos x="0" y="0"/>
            <wp:positionH relativeFrom="margin">
              <wp:align>center</wp:align>
            </wp:positionH>
            <wp:positionV relativeFrom="paragraph">
              <wp:posOffset>14046</wp:posOffset>
            </wp:positionV>
            <wp:extent cx="4994986" cy="2805342"/>
            <wp:effectExtent l="0" t="0" r="0" b="0"/>
            <wp:wrapNone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4986" cy="2805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C2AF9D5" w14:textId="27641E78" w:rsidR="007F465A" w:rsidRPr="00D72822" w:rsidRDefault="007F465A">
      <w:pPr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2971FE56" w14:textId="1536E0C4" w:rsidR="007F465A" w:rsidRPr="00D72822" w:rsidRDefault="007F465A">
      <w:pPr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75598987" w14:textId="5F8B6424" w:rsidR="007F465A" w:rsidRPr="00D72822" w:rsidRDefault="007F465A">
      <w:pPr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5A703638" w14:textId="7C849DFF" w:rsidR="007F465A" w:rsidRPr="00D72822" w:rsidRDefault="007F465A">
      <w:pPr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3F95C120" w14:textId="31B1A4E8" w:rsidR="007F465A" w:rsidRDefault="007F465A">
      <w:pPr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071015F3" w14:textId="67DB6043" w:rsidR="0003320D" w:rsidRDefault="0003320D">
      <w:pPr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6608DAE1" w14:textId="6ED9EDEF" w:rsidR="0003320D" w:rsidRDefault="0003320D">
      <w:pPr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3989E30F" w14:textId="79D88C64" w:rsidR="0003320D" w:rsidRDefault="0003320D">
      <w:pPr>
        <w:rPr>
          <w:rFonts w:ascii="Courier New" w:hAnsi="Courier New" w:cs="Courier New"/>
          <w:color w:val="1F3864" w:themeColor="accent1" w:themeShade="80"/>
          <w:sz w:val="28"/>
          <w:szCs w:val="28"/>
        </w:rPr>
      </w:pPr>
    </w:p>
    <w:p w14:paraId="038EBF49" w14:textId="164CF6D0" w:rsidR="0003320D" w:rsidRPr="002F5C17" w:rsidRDefault="0003320D">
      <w:pPr>
        <w:rPr>
          <w:rFonts w:ascii="Courier New" w:hAnsi="Courier New" w:cs="Courier New"/>
          <w:color w:val="1F3864" w:themeColor="accent1" w:themeShade="80"/>
          <w:sz w:val="16"/>
          <w:szCs w:val="16"/>
        </w:rPr>
      </w:pPr>
    </w:p>
    <w:p w14:paraId="62EEEAC8" w14:textId="3473538A" w:rsidR="0003320D" w:rsidRPr="002F5C17" w:rsidRDefault="0003320D">
      <w:pPr>
        <w:rPr>
          <w:rFonts w:ascii="Courier New" w:hAnsi="Courier New" w:cs="Courier New"/>
          <w:color w:val="1F3864" w:themeColor="accent1" w:themeShade="80"/>
          <w:sz w:val="16"/>
          <w:szCs w:val="16"/>
        </w:rPr>
      </w:pPr>
      <w:r w:rsidRPr="002F5C17">
        <w:rPr>
          <w:rFonts w:ascii="Courier New" w:hAnsi="Courier New" w:cs="Courier New"/>
          <w:color w:val="1F3864" w:themeColor="accent1" w:themeShade="80"/>
          <w:sz w:val="16"/>
          <w:szCs w:val="16"/>
        </w:rPr>
        <w:t>Źródło:</w:t>
      </w:r>
      <w:r w:rsidR="002F5C17" w:rsidRPr="002F5C17">
        <w:rPr>
          <w:rFonts w:ascii="Courier New" w:hAnsi="Courier New" w:cs="Courier New"/>
          <w:color w:val="1F3864" w:themeColor="accent1" w:themeShade="80"/>
          <w:sz w:val="16"/>
          <w:szCs w:val="16"/>
        </w:rPr>
        <w:t>https://guides.gamepressure.com/crash_bandicoot_n_sane_trilogy/guide.asp?ID=40700</w:t>
      </w:r>
    </w:p>
    <w:sectPr w:rsidR="0003320D" w:rsidRPr="002F5C17" w:rsidSect="00AB685C">
      <w:head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82192" w14:textId="77777777" w:rsidR="00AB685C" w:rsidRDefault="00AB685C" w:rsidP="00AB685C">
      <w:pPr>
        <w:spacing w:after="0" w:line="240" w:lineRule="auto"/>
      </w:pPr>
      <w:r>
        <w:separator/>
      </w:r>
    </w:p>
  </w:endnote>
  <w:endnote w:type="continuationSeparator" w:id="0">
    <w:p w14:paraId="3F01A17C" w14:textId="77777777" w:rsidR="00AB685C" w:rsidRDefault="00AB685C" w:rsidP="00AB68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753B47" w14:textId="77777777" w:rsidR="00AB685C" w:rsidRDefault="00AB685C" w:rsidP="00AB685C">
      <w:pPr>
        <w:spacing w:after="0" w:line="240" w:lineRule="auto"/>
      </w:pPr>
      <w:r>
        <w:separator/>
      </w:r>
    </w:p>
  </w:footnote>
  <w:footnote w:type="continuationSeparator" w:id="0">
    <w:p w14:paraId="1CEDD047" w14:textId="77777777" w:rsidR="00AB685C" w:rsidRDefault="00AB685C" w:rsidP="00AB68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F3BC08" w14:textId="77777777" w:rsidR="00AB685C" w:rsidRPr="007F465A" w:rsidRDefault="00AB685C" w:rsidP="00AB685C">
    <w:pPr>
      <w:pStyle w:val="Nagwek"/>
      <w:jc w:val="center"/>
      <w:rPr>
        <w:rFonts w:ascii="Courier New" w:hAnsi="Courier New" w:cs="Courier New"/>
        <w:b/>
        <w:bCs/>
        <w:color w:val="4472C4" w:themeColor="accent1"/>
        <w:sz w:val="28"/>
        <w:szCs w:val="28"/>
      </w:rPr>
    </w:pPr>
    <w:r w:rsidRPr="007F465A">
      <w:rPr>
        <w:rFonts w:ascii="Courier New" w:hAnsi="Courier New" w:cs="Courier New"/>
        <w:b/>
        <w:bCs/>
        <w:color w:val="4472C4" w:themeColor="accent1"/>
        <w:sz w:val="28"/>
        <w:szCs w:val="28"/>
      </w:rPr>
      <w:t>Projekt – Gry Komputerowe 1</w:t>
    </w:r>
  </w:p>
  <w:p w14:paraId="2DD1CE87" w14:textId="73DDA416" w:rsidR="00AB685C" w:rsidRPr="007F465A" w:rsidRDefault="00AB685C" w:rsidP="00AB685C">
    <w:pPr>
      <w:pStyle w:val="Nagwek"/>
      <w:jc w:val="center"/>
      <w:rPr>
        <w:rFonts w:ascii="Courier New" w:hAnsi="Courier New" w:cs="Courier New"/>
        <w:b/>
        <w:bCs/>
        <w:color w:val="4472C4" w:themeColor="accent1"/>
        <w:sz w:val="28"/>
        <w:szCs w:val="28"/>
      </w:rPr>
    </w:pPr>
    <w:r w:rsidRPr="007F465A">
      <w:rPr>
        <w:rFonts w:ascii="Courier New" w:hAnsi="Courier New" w:cs="Courier New"/>
        <w:b/>
        <w:bCs/>
        <w:color w:val="4472C4" w:themeColor="accent1"/>
        <w:sz w:val="28"/>
        <w:szCs w:val="28"/>
      </w:rPr>
      <w:t>Olaf Maliszewski i Jakub Dąbrowski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32E95"/>
    <w:multiLevelType w:val="hybridMultilevel"/>
    <w:tmpl w:val="790C52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63A8F"/>
    <w:multiLevelType w:val="hybridMultilevel"/>
    <w:tmpl w:val="9890426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DB2A45"/>
    <w:multiLevelType w:val="hybridMultilevel"/>
    <w:tmpl w:val="C26C3520"/>
    <w:lvl w:ilvl="0" w:tplc="04150015">
      <w:start w:val="1"/>
      <w:numFmt w:val="upperLetter"/>
      <w:lvlText w:val="%1."/>
      <w:lvlJc w:val="left"/>
      <w:pPr>
        <w:ind w:left="1440" w:hanging="360"/>
      </w:pPr>
    </w:lvl>
    <w:lvl w:ilvl="1" w:tplc="04150019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85C"/>
    <w:rsid w:val="00012478"/>
    <w:rsid w:val="000257C5"/>
    <w:rsid w:val="0003320D"/>
    <w:rsid w:val="000B2AD3"/>
    <w:rsid w:val="000B39D2"/>
    <w:rsid w:val="000C0224"/>
    <w:rsid w:val="000D251B"/>
    <w:rsid w:val="000F6827"/>
    <w:rsid w:val="00114714"/>
    <w:rsid w:val="00150B31"/>
    <w:rsid w:val="001F6503"/>
    <w:rsid w:val="00226091"/>
    <w:rsid w:val="002D3C7D"/>
    <w:rsid w:val="002F5C17"/>
    <w:rsid w:val="0030315D"/>
    <w:rsid w:val="00456B6F"/>
    <w:rsid w:val="00491EEE"/>
    <w:rsid w:val="004B12B9"/>
    <w:rsid w:val="005175ED"/>
    <w:rsid w:val="005A7421"/>
    <w:rsid w:val="00646823"/>
    <w:rsid w:val="0065305D"/>
    <w:rsid w:val="006D0B4C"/>
    <w:rsid w:val="007842BB"/>
    <w:rsid w:val="007908D0"/>
    <w:rsid w:val="007977B7"/>
    <w:rsid w:val="007F465A"/>
    <w:rsid w:val="00842773"/>
    <w:rsid w:val="0087396F"/>
    <w:rsid w:val="00885B35"/>
    <w:rsid w:val="008866CC"/>
    <w:rsid w:val="008D7E64"/>
    <w:rsid w:val="008F2F2B"/>
    <w:rsid w:val="00922523"/>
    <w:rsid w:val="009B60C6"/>
    <w:rsid w:val="009D56E2"/>
    <w:rsid w:val="009D5885"/>
    <w:rsid w:val="00A07DAE"/>
    <w:rsid w:val="00A442BE"/>
    <w:rsid w:val="00A51B02"/>
    <w:rsid w:val="00AB685C"/>
    <w:rsid w:val="00AC244E"/>
    <w:rsid w:val="00B3197C"/>
    <w:rsid w:val="00B869E0"/>
    <w:rsid w:val="00BE4657"/>
    <w:rsid w:val="00C2382C"/>
    <w:rsid w:val="00C56751"/>
    <w:rsid w:val="00C922A4"/>
    <w:rsid w:val="00D67B5A"/>
    <w:rsid w:val="00D72822"/>
    <w:rsid w:val="00E448BF"/>
    <w:rsid w:val="00E9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FF5C5D8"/>
  <w15:chartTrackingRefBased/>
  <w15:docId w15:val="{B860E200-1C3C-4D6F-84D6-B8DE88981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AB68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AB685C"/>
  </w:style>
  <w:style w:type="paragraph" w:styleId="Stopka">
    <w:name w:val="footer"/>
    <w:basedOn w:val="Normalny"/>
    <w:link w:val="StopkaZnak"/>
    <w:uiPriority w:val="99"/>
    <w:unhideWhenUsed/>
    <w:rsid w:val="00AB685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AB685C"/>
  </w:style>
  <w:style w:type="paragraph" w:styleId="Akapitzlist">
    <w:name w:val="List Paragraph"/>
    <w:basedOn w:val="Normalny"/>
    <w:uiPriority w:val="34"/>
    <w:qFormat/>
    <w:rsid w:val="007F465A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56B6F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56B6F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56B6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397A334A2105E49B40A1F01C72F5EAF" ma:contentTypeVersion="11" ma:contentTypeDescription="Utwórz nowy dokument." ma:contentTypeScope="" ma:versionID="76682e63253038b3867ab30198bfa90d">
  <xsd:schema xmlns:xsd="http://www.w3.org/2001/XMLSchema" xmlns:xs="http://www.w3.org/2001/XMLSchema" xmlns:p="http://schemas.microsoft.com/office/2006/metadata/properties" xmlns:ns3="235d2c2e-4d45-4f0e-ac3c-17a435bd38b9" xmlns:ns4="f84b83f9-4ccc-4f76-8ff8-068f08abd134" targetNamespace="http://schemas.microsoft.com/office/2006/metadata/properties" ma:root="true" ma:fieldsID="4f1baf07a1e88fc9d7ee110089a139a5" ns3:_="" ns4:_="">
    <xsd:import namespace="235d2c2e-4d45-4f0e-ac3c-17a435bd38b9"/>
    <xsd:import namespace="f84b83f9-4ccc-4f76-8ff8-068f08abd13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5d2c2e-4d45-4f0e-ac3c-17a435bd38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b83f9-4ccc-4f76-8ff8-068f08abd13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krót wskazówki dotyczącej udostępniani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6893833-14D7-48A4-B00F-1439B19C9731}">
  <ds:schemaRefs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documentManagement/types"/>
    <ds:schemaRef ds:uri="http://purl.org/dc/elements/1.1/"/>
    <ds:schemaRef ds:uri="http://schemas.microsoft.com/office/2006/metadata/properties"/>
    <ds:schemaRef ds:uri="f84b83f9-4ccc-4f76-8ff8-068f08abd134"/>
    <ds:schemaRef ds:uri="http://purl.org/dc/dcmitype/"/>
    <ds:schemaRef ds:uri="235d2c2e-4d45-4f0e-ac3c-17a435bd38b9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3E912A8F-2AAE-4856-B233-38D62EA5142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AB5315-8F62-4CD3-837C-39D3F9BE5B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5d2c2e-4d45-4f0e-ac3c-17a435bd38b9"/>
    <ds:schemaRef ds:uri="f84b83f9-4ccc-4f76-8ff8-068f08abd1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231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Maliszewski</dc:creator>
  <cp:keywords/>
  <dc:description/>
  <cp:lastModifiedBy>Olaf Maliszewski</cp:lastModifiedBy>
  <cp:revision>2</cp:revision>
  <dcterms:created xsi:type="dcterms:W3CDTF">2020-10-24T17:35:00Z</dcterms:created>
  <dcterms:modified xsi:type="dcterms:W3CDTF">2020-10-24T17:35:00Z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0x0101004397A334A2105E49B40A1F01C72F5EAF</vt:lpwstr>
  </property>
</Properties>
</file>