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Bagan Alir Proses Pengadaan Barang &amp; Jasa — Sampurasun</w:t>
      </w:r>
    </w:p>
    <w:tbl>
      <w:tblPr>
        <w:tblW w:type="dxa" w:w="14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c>
          <w:tcPr>
            <w:tcW w:type="dxa" w:w="1400"/>
            <w:tcBorders>
              <w:top w:val="single" w:color="1B4F2A" w:sz="6"/>
              <w:left w:val="single" w:color="1B4F2A" w:sz="6"/>
              <w:bottom w:val="single" w:color="1B4F2A" w:sz="6"/>
              <w:right w:val="single" w:color="1B4F2A" w:sz="6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●  Mulai / Selesai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Proses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1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◆ Keputusan ◆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single" w:color="0277BD" w:sz="6"/>
              <w:left w:val="single" w:color="0277BD" w:sz="6"/>
              <w:bottom w:val="single" w:color="0277BD" w:sz="6"/>
              <w:right w:val="single" w:color="0277BD" w:sz="6"/>
            </w:tcBorders>
            <w:shd w:fill="B3E5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✉ Notifikasi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✖ Ditolak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↺ = Kembali ke langkah sebelumnya</w:t>
            </w:r>
          </w:p>
        </w:tc>
      </w:tr>
    </w:tbl>
    <w:p>
      <w:pPr>
        <w:spacing w:after="0" w:before="160"/>
      </w:pPr>
    </w:p>
    <w:tbl>
      <w:tblPr>
        <w:tblW w:type="dxa" w:w="14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2403"/>
        <w:gridCol w:w="2403"/>
        <w:gridCol w:w="2403"/>
        <w:gridCol w:w="2403"/>
        <w:gridCol w:w="2403"/>
        <w:gridCol w:w="2403"/>
      </w:tblGrid>
      <w:tr>
        <w:tc>
          <w:tcPr>
            <w:tcW w:type="dxa" w:w="580"/>
            <w:tcBorders>
              <w:top w:val="single" w:color="1B4F2A" w:sz="1"/>
              <w:left w:val="single" w:color="1B4F2A" w:sz="1"/>
              <w:bottom w:val="single" w:color="1B4F2A" w:sz="1"/>
              <w:right w:val="single" w:color="1B4F2A" w:sz="1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3"/>
            <w:tcBorders>
              <w:top w:val="single" w:color="1B4F2A" w:sz="1"/>
              <w:left w:val="single" w:color="1B4F2A" w:sz="1"/>
              <w:bottom w:val="single" w:color="1B4F2A" w:sz="1"/>
              <w:right w:val="single" w:color="1B4F2A" w:sz="1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Sarana &amp; Umum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DDBB"/>
                <w:sz w:val="16"/>
                <w:szCs w:val="16"/>
              </w:rPr>
              <w:t xml:space="preserve">Pemohon</w:t>
            </w:r>
          </w:p>
        </w:tc>
        <w:tc>
          <w:tcPr>
            <w:tcW w:type="dxa" w:w="2403"/>
            <w:tcBorders>
              <w:top w:val="single" w:color="1B4F2A" w:sz="1"/>
              <w:left w:val="single" w:color="1B4F2A" w:sz="1"/>
              <w:bottom w:val="single" w:color="1B4F2A" w:sz="1"/>
              <w:right w:val="single" w:color="1B4F2A" w:sz="1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PPTK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DDBB"/>
                <w:sz w:val="16"/>
                <w:szCs w:val="16"/>
              </w:rPr>
              <w:t xml:space="preserve">Pejabat Teknis</w:t>
            </w:r>
          </w:p>
        </w:tc>
        <w:tc>
          <w:tcPr>
            <w:tcW w:type="dxa" w:w="2403"/>
            <w:tcBorders>
              <w:top w:val="single" w:color="1B4F2A" w:sz="1"/>
              <w:left w:val="single" w:color="1B4F2A" w:sz="1"/>
              <w:bottom w:val="single" w:color="1B4F2A" w:sz="1"/>
              <w:right w:val="single" w:color="1B4F2A" w:sz="1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Pejabat Pengadaan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DDBB"/>
                <w:sz w:val="16"/>
                <w:szCs w:val="16"/>
              </w:rPr>
              <w:t xml:space="preserve">Proses Kontrak</w:t>
            </w:r>
          </w:p>
        </w:tc>
        <w:tc>
          <w:tcPr>
            <w:tcW w:type="dxa" w:w="2403"/>
            <w:tcBorders>
              <w:top w:val="single" w:color="1B4F2A" w:sz="1"/>
              <w:left w:val="single" w:color="1B4F2A" w:sz="1"/>
              <w:bottom w:val="single" w:color="1B4F2A" w:sz="1"/>
              <w:right w:val="single" w:color="1B4F2A" w:sz="1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UPBJ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DDBB"/>
                <w:sz w:val="16"/>
                <w:szCs w:val="16"/>
              </w:rPr>
              <w:t xml:space="preserve">Dokumen Terima</w:t>
            </w:r>
          </w:p>
        </w:tc>
        <w:tc>
          <w:tcPr>
            <w:tcW w:type="dxa" w:w="2403"/>
            <w:tcBorders>
              <w:top w:val="single" w:color="1B4F2A" w:sz="1"/>
              <w:left w:val="single" w:color="1B4F2A" w:sz="1"/>
              <w:bottom w:val="single" w:color="1B4F2A" w:sz="1"/>
              <w:right w:val="single" w:color="1B4F2A" w:sz="1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Keuangan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DDBB"/>
                <w:sz w:val="16"/>
                <w:szCs w:val="16"/>
              </w:rPr>
              <w:t xml:space="preserve">Pembayaran</w:t>
            </w:r>
          </w:p>
        </w:tc>
        <w:tc>
          <w:tcPr>
            <w:tcW w:type="dxa" w:w="2403"/>
            <w:tcBorders>
              <w:top w:val="single" w:color="1B4F2A" w:sz="1"/>
              <w:left w:val="single" w:color="1B4F2A" w:sz="1"/>
              <w:bottom w:val="single" w:color="1B4F2A" w:sz="1"/>
              <w:right w:val="single" w:color="1B4F2A" w:sz="1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Perencanaan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DDBB"/>
                <w:sz w:val="16"/>
                <w:szCs w:val="16"/>
              </w:rPr>
              <w:t xml:space="preserve">Evaluasi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"/>
              <w:left w:type="dxa" w:w="0"/>
              <w:bottom w:type="dxa" w:w="2"/>
              <w:right w:type="dxa" w:w="0"/>
            </w:tcMar>
          </w:tcPr>
          <w:p/>
        </w:tc>
        <w:tc>
          <w:tcPr>
            <w:tcW w:type="dxa" w:w="2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2"/>
              <w:left w:type="dxa" w:w="0"/>
              <w:bottom w:type="dxa" w:w="2"/>
              <w:right w:type="dxa" w:w="0"/>
            </w:tcMar>
          </w:tcPr>
          <w:p/>
        </w:tc>
        <w:tc>
          <w:tcPr>
            <w:tcW w:type="dxa" w:w="2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"/>
              <w:left w:type="dxa" w:w="0"/>
              <w:bottom w:type="dxa" w:w="2"/>
              <w:right w:type="dxa" w:w="0"/>
            </w:tcMar>
          </w:tcPr>
          <w:p/>
        </w:tc>
        <w:tc>
          <w:tcPr>
            <w:tcW w:type="dxa" w:w="2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2"/>
              <w:left w:type="dxa" w:w="0"/>
              <w:bottom w:type="dxa" w:w="2"/>
              <w:right w:type="dxa" w:w="0"/>
            </w:tcMar>
          </w:tcPr>
          <w:p/>
        </w:tc>
        <w:tc>
          <w:tcPr>
            <w:tcW w:type="dxa" w:w="2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2"/>
              <w:left w:type="dxa" w:w="0"/>
              <w:bottom w:type="dxa" w:w="2"/>
              <w:right w:type="dxa" w:w="0"/>
            </w:tcMar>
          </w:tcPr>
          <w:p/>
        </w:tc>
        <w:tc>
          <w:tcPr>
            <w:tcW w:type="dxa" w:w="2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2"/>
              <w:left w:type="dxa" w:w="0"/>
              <w:bottom w:type="dxa" w:w="2"/>
              <w:right w:type="dxa" w:w="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3"/>
            <w:tcBorders>
              <w:top w:val="single" w:color="1B4F2A" w:sz="6"/>
              <w:left w:val="single" w:color="1B4F2A" w:sz="6"/>
              <w:bottom w:val="single" w:color="1B4F2A" w:sz="6"/>
              <w:right w:val="single" w:color="1B4F2A" w:sz="6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  MULAI  ●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Isi Form Usulan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(judul, item, anggaran)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Validasi Estimasi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vs Sisa Anggaran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Submit Usulan</w:t>
            </w:r>
          </w:p>
        </w:tc>
        <w:tc>
          <w:tcPr>
            <w:tcW w:type="dxa" w:w="2403"/>
            <w:tcBorders>
              <w:top w:val="single" w:color="0277BD" w:sz="6"/>
              <w:left w:val="single" w:color="0277BD" w:sz="6"/>
              <w:bottom w:val="single" w:color="0277BD" w:sz="6"/>
              <w:right w:val="single" w:color="0277BD" w:sz="6"/>
            </w:tcBorders>
            <w:shd w:fill="B3E5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✉  → Notifikasi Usulan Baru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Review Usulan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(item, anggaran, dokumen)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1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9"/>
                <w:szCs w:val="19"/>
              </w:rPr>
              <w:t xml:space="preserve">◆ KEPUTUSAN? ◆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F9A825" w:sz="1"/>
              <w:left w:val="none" w:color="FFFFFF" w:sz="0"/>
              <w:bottom w:val="single" w:color="F9A825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B5800"/>
                <w:sz w:val="17"/>
                <w:szCs w:val="17"/>
              </w:rPr>
              <w:t xml:space="preserve">⇐ Revisi</w:t>
            </w:r>
          </w:p>
        </w:tc>
        <w:tc>
          <w:tcPr>
            <w:tcW w:type="dxa" w:w="2403"/>
            <w:tcBorders>
              <w:top w:val="single" w:color="F9A825" w:sz="1"/>
              <w:left w:val="none" w:color="FFFFFF" w:sz="0"/>
              <w:bottom w:val="single" w:color="F9A825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B5800"/>
                <w:sz w:val="17"/>
                <w:szCs w:val="17"/>
              </w:rPr>
              <w:t xml:space="preserve">Tolak ✕</w:t>
            </w:r>
          </w:p>
        </w:tc>
        <w:tc>
          <w:tcPr>
            <w:tcW w:type="dxa" w:w="2403"/>
            <w:tcBorders>
              <w:top w:val="single" w:color="F9A825" w:sz="1"/>
              <w:left w:val="none" w:color="FFFFFF" w:sz="0"/>
              <w:bottom w:val="single" w:color="F9A825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B5800"/>
                <w:sz w:val="17"/>
                <w:szCs w:val="17"/>
              </w:rPr>
              <w:t xml:space="preserve">Setuju ⇒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Perbaiki Usulan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(sesuai catatan PPTK)</w:t>
            </w:r>
          </w:p>
        </w:tc>
        <w:tc>
          <w:tcPr>
            <w:tcW w:type="dxa" w:w="2403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✖ Usulan Ditolak</w:t>
            </w:r>
          </w:p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Buat Paket Pengadaan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(pilih item per paket)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F9A825" w:sz="1"/>
              <w:left w:val="none" w:color="FFFFFF" w:sz="0"/>
              <w:bottom w:val="single" w:color="F9A825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B5800"/>
                <w:sz w:val="17"/>
                <w:szCs w:val="17"/>
              </w:rPr>
              <w:t xml:space="preserve">↺ kembali ke langkah 2</w:t>
            </w:r>
          </w:p>
        </w:tc>
        <w:tc>
          <w:tcPr>
            <w:tcW w:type="dxa" w:w="2403"/>
            <w:tcBorders>
              <w:top w:val="single" w:color="F9A825" w:sz="1"/>
              <w:left w:val="none" w:color="FFFFFF" w:sz="0"/>
              <w:bottom w:val="single" w:color="F9A825" w:sz="1"/>
              <w:right w:val="none" w:color="FFFFFF" w:sz="0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B5800"/>
                <w:sz w:val="17"/>
                <w:szCs w:val="17"/>
              </w:rPr>
              <w:t xml:space="preserve">✗ Proses Berhenti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Input Detail Kontrak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(penyedia, no kontrak, tanggal)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Isi Harga Kontrak Per Item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(nilai kontrak auto-hitung)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Simpan Kontrak</w:t>
            </w:r>
          </w:p>
        </w:tc>
        <w:tc>
          <w:tcPr>
            <w:tcW w:type="dxa" w:w="2403"/>
            <w:tcBorders>
              <w:top w:val="single" w:color="0277BD" w:sz="6"/>
              <w:left w:val="single" w:color="0277BD" w:sz="6"/>
              <w:bottom w:val="single" w:color="0277BD" w:sz="6"/>
              <w:right w:val="single" w:color="0277BD" w:sz="6"/>
            </w:tcBorders>
            <w:shd w:fill="B3E5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✉  → Notifikasi ke UPBJ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Input No. Dokumen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(BAST, BAPMHP, BAPRHP, BAPP)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Cetak Dokumen PDF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(Surat Pesanan, BAST, Ringkasan, SPP-GU)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Selesaikan Dokumen</w:t>
            </w:r>
          </w:p>
        </w:tc>
        <w:tc>
          <w:tcPr>
            <w:tcW w:type="dxa" w:w="2403"/>
            <w:tcBorders>
              <w:top w:val="single" w:color="0277BD" w:sz="6"/>
              <w:left w:val="single" w:color="0277BD" w:sz="6"/>
              <w:bottom w:val="single" w:color="0277BD" w:sz="6"/>
              <w:right w:val="single" w:color="0277BD" w:sz="6"/>
            </w:tcBorders>
            <w:shd w:fill="B3E5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✉  → Notifikasi Keuangan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Proses Pembayaran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(no SPP, no SP2D, jumlah)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Selesaikan Pembayaran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Status Paket → Selesai</w:t>
            </w:r>
          </w:p>
        </w:tc>
        <w:tc>
          <w:tcPr>
            <w:tcW w:type="dxa" w:w="2403"/>
            <w:tcBorders>
              <w:top w:val="single" w:color="0277BD" w:sz="6"/>
              <w:left w:val="single" w:color="0277BD" w:sz="6"/>
              <w:bottom w:val="single" w:color="0277BD" w:sz="6"/>
              <w:right w:val="single" w:color="0277BD" w:sz="6"/>
            </w:tcBorders>
            <w:shd w:fill="B3E5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✉  → Notifikasi Perencanaan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D0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Evaluasi Kinerja Penyedia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(nilai 1-100 &amp; catatan)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03"/>
            <w:tcBorders>
              <w:top w:val="single" w:color="1B4F2A" w:sz="6"/>
              <w:left w:val="single" w:color="1B4F2A" w:sz="6"/>
              <w:bottom w:val="single" w:color="1B4F2A" w:sz="6"/>
              <w:right w:val="single" w:color="1B4F2A" w:sz="6"/>
            </w:tcBorders>
            <w:shd w:fill="1B4F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  SELESAI  ●</w:t>
            </w:r>
          </w:p>
        </w:tc>
      </w:tr>
    </w:tbl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Sampurasun v2 — Mei 2026</w:t>
      </w:r>
    </w:p>
    <w:sectPr>
      <w:headerReference w:type="default" r:id="rId7"/>
      <w:footerReference w:type="default" r:id="rId8"/>
      <w:pgSz w:w="16838" w:h="11906" w:orient="landscape"/>
      <w:pgMar w:top="720" w:right="680" w:bottom="7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2A" w:sz="4" w:space="1"/>
      </w:pBdr>
      <w:spacing w:after="0" w:before="10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Halaman </w:t>
    </w:r>
    <w:r>
      <w:rPr>
        <w:rFonts w:ascii="Arial" w:cs="Arial" w:eastAsia="Arial" w:hAnsi="Arial"/>
        <w:color w:val="1B4F2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dari </w:t>
    </w:r>
    <w:r>
      <w:rPr>
        <w:rFonts w:ascii="Arial" w:cs="Arial" w:eastAsia="Arial" w:hAnsi="Arial"/>
        <w:color w:val="1B4F2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2A" w:sz="4" w:space="1"/>
      </w:pBdr>
      <w:spacing w:after="100" w:before="0"/>
    </w:pPr>
    <w:r>
      <w:rPr>
        <w:rFonts w:ascii="Arial" w:cs="Arial" w:eastAsia="Arial" w:hAnsi="Arial"/>
        <w:b/>
        <w:bCs/>
        <w:color w:val="1B4F2A"/>
        <w:sz w:val="18"/>
        <w:szCs w:val="18"/>
      </w:rPr>
      <w:t xml:space="preserve">SAMPURASUN</w:t>
    </w:r>
    <w:r>
      <w:rPr>
        <w:rFonts w:ascii="Arial" w:cs="Arial" w:eastAsia="Arial" w:hAnsi="Arial"/>
        <w:color w:val="666666"/>
        <w:sz w:val="18"/>
        <w:szCs w:val="18"/>
      </w:rPr>
      <w:t xml:space="preserve">   —   Bagan Alir Proses Pengadaan Barang &amp; Jasa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  <w:outlineLvl w:val="0"/>
    </w:pPr>
    <w:rPr>
      <w:rFonts w:ascii="Arial" w:cs="Arial" w:eastAsia="Arial" w:hAnsi="Arial"/>
      <w:b/>
      <w:bCs/>
      <w:color w:val="1B4F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2026-05-16T05:39:10.453Z</dcterms:created>
  <dcterms:modified xsi:type="dcterms:W3CDTF">2026-05-16T05:39:10.453Z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