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4FC9C72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>ImmunizationBRIPS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6D74BD3B" w:rsidR="007E1FFB" w:rsidRDefault="00AA4E5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outra parte.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 xml:space="preserve">, considerando todos os cenários de aplicação, tendo como </w:t>
      </w:r>
      <w:proofErr w:type="gramStart"/>
      <w:r w:rsidR="0080007D">
        <w:rPr>
          <w:rFonts w:asciiTheme="majorHAnsi" w:hAnsiTheme="majorHAnsi" w:cstheme="majorHAnsi"/>
          <w:sz w:val="20"/>
          <w:szCs w:val="20"/>
        </w:rPr>
        <w:t>público alvo</w:t>
      </w:r>
      <w:proofErr w:type="gramEnd"/>
      <w:r w:rsidR="0080007D">
        <w:rPr>
          <w:rFonts w:asciiTheme="majorHAnsi" w:hAnsiTheme="majorHAnsi" w:cstheme="majorHAnsi"/>
          <w:sz w:val="20"/>
          <w:szCs w:val="20"/>
        </w:rPr>
        <w:t xml:space="preserve">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 xml:space="preserve">Campanha. Os dados destes perfis serão enviados no perfil de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BRIPS.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6C8CA7CF" w14:textId="77777777" w:rsidR="003B6646" w:rsidRPr="00EC4E22" w:rsidRDefault="003B6646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EC4E22">
        <w:rPr>
          <w:rFonts w:asciiTheme="majorHAnsi" w:hAnsiTheme="majorHAnsi" w:cstheme="majorHAnsi"/>
          <w:color w:val="FF0000"/>
          <w:sz w:val="20"/>
          <w:szCs w:val="20"/>
        </w:rPr>
        <w:t>[Descrever restrições de uso do perfil]</w:t>
      </w:r>
    </w:p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</w:t>
      </w:r>
      <w:proofErr w:type="spellStart"/>
      <w:r>
        <w:rPr>
          <w:rFonts w:asciiTheme="majorHAnsi" w:hAnsiTheme="majorHAnsi" w:cstheme="majorHAnsi"/>
          <w:sz w:val="20"/>
          <w:szCs w:val="20"/>
        </w:rPr>
        <w:t>vaccineCode</w:t>
      </w:r>
      <w:proofErr w:type="spellEnd"/>
      <w:r>
        <w:rPr>
          <w:rFonts w:asciiTheme="majorHAnsi" w:hAnsiTheme="majorHAnsi" w:cstheme="majorHAnsi"/>
          <w:sz w:val="20"/>
          <w:szCs w:val="20"/>
        </w:rPr>
        <w:t>), o paciente que recebeu a aplicação (</w:t>
      </w:r>
      <w:proofErr w:type="spellStart"/>
      <w:r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proofErr w:type="spellEnd"/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</w:t>
      </w:r>
      <w:proofErr w:type="spellStart"/>
      <w:r w:rsidR="00654063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anchor="/orgs/MS/sources/BRImunobiologico/mappings/" w:history="1">
        <w:proofErr w:type="spellStart"/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  <w:proofErr w:type="spellEnd"/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valueset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- SNOMED CT IPS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Free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 xml:space="preserve">1 são apresentados os números correspondentes aos graus de equivalência, conforme a norma ISSO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>: Relação entre os graus de equivalência e os códigos mapeados.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5  -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Caption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Caption"/>
        <w:keepNext/>
        <w:jc w:val="both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2</w:t>
        </w:r>
      </w:fldSimple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3</w:t>
        </w:r>
      </w:fldSimple>
      <w:r>
        <w:t>: Códigos que estão presentes na SNOMED CT core e ainda não estão no subconjunto SNOMED CT -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212913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Brazilian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50" w:type="dxa"/>
            <w:hideMark/>
          </w:tcPr>
          <w:p w14:paraId="1B53D67A" w14:textId="4705F111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Brazilian Vaccine List PT</w:t>
            </w:r>
            <w:r w:rsid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B</w:t>
            </w: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BR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1723" w:type="dxa"/>
            <w:hideMark/>
          </w:tcPr>
          <w:p w14:paraId="13D88944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212913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antitoxin</w:t>
            </w:r>
            <w:proofErr w:type="spellEnd"/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tetanus antitoxin (medicinal product)</w:t>
            </w:r>
          </w:p>
        </w:tc>
      </w:tr>
      <w:tr w:rsidR="00DE2819" w:rsidRPr="00212913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Product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oduct</w:t>
            </w:r>
            <w:proofErr w:type="spellEnd"/>
            <w:proofErr w:type="gram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product)</w:t>
            </w:r>
          </w:p>
        </w:tc>
      </w:tr>
      <w:tr w:rsidR="00DE2819" w:rsidRPr="00212913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antivaricela</w:t>
            </w:r>
            <w:proofErr w:type="spellEnd"/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human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immunoglobulin</w:t>
            </w:r>
            <w:proofErr w:type="spellEnd"/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Immunoglobulin M antibody to Varicella zoster virus (substance)product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product)|</w:t>
            </w:r>
            <w:proofErr w:type="gramEnd"/>
          </w:p>
        </w:tc>
      </w:tr>
      <w:tr w:rsidR="00DE2819" w:rsidRPr="00212913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</w:p>
        </w:tc>
        <w:tc>
          <w:tcPr>
            <w:tcW w:w="1650" w:type="dxa"/>
            <w:hideMark/>
          </w:tcPr>
          <w:p w14:paraId="708452F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Antibody to hepatitis B virus (substance)</w:t>
            </w:r>
          </w:p>
        </w:tc>
      </w:tr>
      <w:tr w:rsidR="00DE2819" w:rsidRPr="00212913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Vacina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10-valent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conjugate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212913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antivenom</w:t>
            </w:r>
            <w:proofErr w:type="spellEnd"/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Latrodectus mactans antivenom (medicinal product)</w:t>
            </w:r>
          </w:p>
        </w:tc>
      </w:tr>
      <w:tr w:rsidR="00DE2819" w:rsidRPr="00212913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Measles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and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rubella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Measles morbillivirus and Rubella virus antigens (medicinal product)</w:t>
            </w:r>
          </w:p>
        </w:tc>
      </w:tr>
      <w:tr w:rsidR="00DE2819" w:rsidRPr="00212913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trivalent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212913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AB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bivalent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212913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Herpes-Zoster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recombinant</w:t>
            </w:r>
            <w:proofErr w:type="spellEnd"/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5692A34F" w14:textId="40A468CF" w:rsidR="00F10182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Imunobiológico Administrado, no caso 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>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PatientBRIPS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>))</w:t>
      </w:r>
      <w:r>
        <w:rPr>
          <w:rFonts w:asciiTheme="majorHAnsi" w:hAnsiTheme="majorHAnsi" w:cstheme="majorHAnsi"/>
          <w:sz w:val="20"/>
          <w:szCs w:val="20"/>
        </w:rPr>
        <w:t xml:space="preserve"> e ao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Organization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indica o estabelecimento de saúde que executou a vacina.</w:t>
      </w:r>
    </w:p>
    <w:p w14:paraId="60DEA863" w14:textId="77777777" w:rsidR="003955DB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9F184A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p w14:paraId="69BC0E19" w14:textId="77777777" w:rsidR="0001736D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EBE8570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B20FFA1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8"/>
        <w:gridCol w:w="1560"/>
        <w:gridCol w:w="2126"/>
        <w:gridCol w:w="1417"/>
        <w:gridCol w:w="2025"/>
      </w:tblGrid>
      <w:tr w:rsidR="00C4236B" w:rsidRPr="004F5446" w14:paraId="12943B9B" w14:textId="77777777" w:rsidTr="00C4236B">
        <w:trPr>
          <w:trHeight w:val="330"/>
        </w:trPr>
        <w:tc>
          <w:tcPr>
            <w:tcW w:w="1271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899B50" w14:textId="77777777" w:rsidR="00C4236B" w:rsidRPr="00117D48" w:rsidRDefault="00C4236B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1822E7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1FFE5C4" w14:textId="77777777" w:rsidR="00C4236B" w:rsidRPr="004F5446" w:rsidRDefault="00C4236B" w:rsidP="00C4236B">
            <w:pPr>
              <w:ind w:right="837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1E4E9E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BAE900" w14:textId="77777777" w:rsidR="00C4236B" w:rsidRPr="004F5446" w:rsidRDefault="00C4236B" w:rsidP="00C4236B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17898A88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C4236B" w:rsidRPr="0058409E" w14:paraId="38E3FA1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BF65A0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AA8D6E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1560" w:type="dxa"/>
          </w:tcPr>
          <w:p w14:paraId="22009ACA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3F0B75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1417" w:type="dxa"/>
          </w:tcPr>
          <w:p w14:paraId="69A73356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hyperlink r:id="rId7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694E0C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C4236B" w:rsidRPr="009175A2" w14:paraId="48828BD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85D3" w14:textId="77777777" w:rsidR="00C4236B" w:rsidRPr="009175A2" w:rsidRDefault="00C4236B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0A2FA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75593AEA" w14:textId="77777777" w:rsidR="00C4236B" w:rsidRPr="009175A2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14:paraId="7B362B00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hyperlink r:id="rId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1417" w:type="dxa"/>
          </w:tcPr>
          <w:p w14:paraId="681C92E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9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  <w:p w14:paraId="2B3CF4D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2025" w:type="dxa"/>
          </w:tcPr>
          <w:p w14:paraId="5C89FA81" w14:textId="77777777" w:rsidR="00C4236B" w:rsidRPr="0041678F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  <w:p w14:paraId="345C0041" w14:textId="77777777" w:rsidR="00C4236B" w:rsidRPr="009175A2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9175A2" w14:paraId="46ACB66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B82D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7FDE7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C744171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62FF3A34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7468D8E5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555BAA1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74E5B2D6" w14:textId="77777777" w:rsidR="00C4236B" w:rsidRPr="009175A2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1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2B0AC1C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2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com</w:t>
            </w:r>
          </w:p>
          <w:p w14:paraId="56B93A93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3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1B08EB3A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Caso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exista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mapeamento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vaccineCode.system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=</w:t>
            </w:r>
            <w:hyperlink r:id="rId14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4034D10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15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45440C4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C4236B">
              <w:rPr>
                <w:lang w:val="en-US"/>
              </w:rPr>
              <w:t xml:space="preserve"> </w:t>
            </w:r>
            <w:hyperlink r:id="rId16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E96E61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E06D1D5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17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C4236B" w:rsidRPr="009175A2" w14:paraId="11CF7DE6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ED8C5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2EFCB9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5FA2021F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14:paraId="653852F4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8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3CD33681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DDEC0DE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599BB7F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9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65BACF7A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4AB65B1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Quando o </w:t>
            </w: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uma tradução entre os conceitos</w:t>
            </w:r>
          </w:p>
          <w:p w14:paraId="50D0ED5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20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7A2E5C6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5F9CAD6B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21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18B5CA66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1226D72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cstheme="minorHAnsi"/>
                <w:sz w:val="20"/>
                <w:szCs w:val="20"/>
              </w:rPr>
              <w:t>Este caso de preencher co</w:t>
            </w:r>
            <w:r>
              <w:rPr>
                <w:rFonts w:cstheme="minorHAnsi"/>
                <w:sz w:val="20"/>
                <w:szCs w:val="20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só corre se não existir informação de imunização do paciente ou se não existir nenhum mapeamento.</w:t>
            </w:r>
          </w:p>
          <w:p w14:paraId="70CD5F57" w14:textId="77777777" w:rsidR="00C4236B" w:rsidRPr="009175A2" w:rsidRDefault="00C4236B" w:rsidP="005D128A">
            <w:pPr>
              <w:spacing w:after="12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vez que aguardam inclusão no SNOMED IPS.</w:t>
            </w:r>
          </w:p>
        </w:tc>
      </w:tr>
      <w:tr w:rsidR="00C4236B" w:rsidRPr="009175A2" w14:paraId="15077FE5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DAC9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39E28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7875B4C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Referência ao paciente</w:t>
            </w:r>
          </w:p>
        </w:tc>
        <w:tc>
          <w:tcPr>
            <w:tcW w:w="2126" w:type="dxa"/>
          </w:tcPr>
          <w:p w14:paraId="6EC62256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203221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830039D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gerada para o recurso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bundle</w:t>
            </w:r>
            <w:proofErr w:type="spellEnd"/>
          </w:p>
        </w:tc>
      </w:tr>
      <w:tr w:rsidR="00C4236B" w:rsidRPr="00C77869" w14:paraId="5EDF7E6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2303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occurenceDateTime</w:t>
            </w:r>
            <w:proofErr w:type="spellEnd"/>
          </w:p>
          <w:p w14:paraId="43C04E0D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F18AC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1..1</w:t>
            </w:r>
          </w:p>
        </w:tc>
        <w:tc>
          <w:tcPr>
            <w:tcW w:w="1560" w:type="dxa"/>
          </w:tcPr>
          <w:p w14:paraId="7DE2510D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Data de administração do imunobiológico</w:t>
            </w:r>
          </w:p>
        </w:tc>
        <w:tc>
          <w:tcPr>
            <w:tcW w:w="2126" w:type="dxa"/>
          </w:tcPr>
          <w:p w14:paraId="6E4C665E" w14:textId="77777777" w:rsidR="00C4236B" w:rsidRPr="00C77869" w:rsidRDefault="00C4236B" w:rsidP="005D128A">
            <w:pPr>
              <w:rPr>
                <w:rFonts w:cstheme="minorHAnsi"/>
                <w:sz w:val="20"/>
                <w:szCs w:val="20"/>
              </w:rPr>
            </w:pPr>
            <w:hyperlink r:id="rId22" w:history="1"/>
            <w:r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04000DBA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111B4980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4236B" w:rsidRPr="00C77869" w14:paraId="50530D8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20E0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reportOrigin.coding.system</w:t>
            </w:r>
            <w:proofErr w:type="spellEnd"/>
            <w:proofErr w:type="gramEnd"/>
          </w:p>
          <w:p w14:paraId="4CE070F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99DF3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E0D494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eferência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3EC1B02B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hyperlink r:id="rId23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2790270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</w:t>
            </w:r>
          </w:p>
        </w:tc>
        <w:tc>
          <w:tcPr>
            <w:tcW w:w="2025" w:type="dxa"/>
          </w:tcPr>
          <w:p w14:paraId="603532D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24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73EC6E5E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C77869" w14:paraId="06D982B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BA86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reportOrigin.coding.code</w:t>
            </w:r>
            <w:proofErr w:type="spellEnd"/>
            <w:proofErr w:type="gramEnd"/>
          </w:p>
          <w:p w14:paraId="14B72FA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C367E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3B36048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03818233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5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1A6CA26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549F85B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</w:p>
        </w:tc>
      </w:tr>
      <w:tr w:rsidR="00C4236B" w:rsidRPr="00C77869" w14:paraId="3247449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87A0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reportOrigin.coding.display</w:t>
            </w:r>
            <w:proofErr w:type="spellEnd"/>
            <w:proofErr w:type="gramEnd"/>
          </w:p>
          <w:p w14:paraId="65EE265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411870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537C2B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65CF64A5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605504C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38A5234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C4236B" w:rsidRPr="00C77869" w14:paraId="3F1F2B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F40F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C94C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48DF4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Fabricante do Imunobiológico</w:t>
            </w:r>
          </w:p>
        </w:tc>
        <w:tc>
          <w:tcPr>
            <w:tcW w:w="2126" w:type="dxa"/>
          </w:tcPr>
          <w:p w14:paraId="6BB6A68D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7" w:anchor="/orgs/MS/sources/BRFabricantePNI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BRFabricantePNI</w:t>
              </w:r>
              <w:proofErr w:type="spellEnd"/>
            </w:hyperlink>
          </w:p>
        </w:tc>
        <w:tc>
          <w:tcPr>
            <w:tcW w:w="1417" w:type="dxa"/>
          </w:tcPr>
          <w:p w14:paraId="5920520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exibido apenas o Display com o nome do Fabricante conforme enviado pela RNDS</w:t>
            </w:r>
          </w:p>
        </w:tc>
        <w:tc>
          <w:tcPr>
            <w:tcW w:w="2025" w:type="dxa"/>
          </w:tcPr>
          <w:p w14:paraId="47F8AD0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manufacturer.display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</w:t>
            </w:r>
            <w:hyperlink r:id="rId28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RFabricantePNI</w:t>
              </w:r>
              <w:proofErr w:type="spellEnd"/>
            </w:hyperlink>
          </w:p>
          <w:p w14:paraId="2A133D3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C77869" w14:paraId="65A8F79C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6A93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578CF6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4AC78040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</w:t>
            </w:r>
          </w:p>
        </w:tc>
        <w:tc>
          <w:tcPr>
            <w:tcW w:w="2126" w:type="dxa"/>
          </w:tcPr>
          <w:p w14:paraId="628FEAA5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6299C2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4558405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4236B" w:rsidRPr="00C77869" w14:paraId="56EE1BBE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009B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29158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BBEB634" w14:textId="77777777" w:rsidR="00C4236B" w:rsidRPr="00C77869" w:rsidRDefault="00C4236B" w:rsidP="005D128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expiração do imunobiológico</w:t>
            </w:r>
          </w:p>
        </w:tc>
        <w:tc>
          <w:tcPr>
            <w:tcW w:w="2126" w:type="dxa"/>
          </w:tcPr>
          <w:p w14:paraId="5E60F5E7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C69947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5F3040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4236B" w:rsidRPr="00C77869" w14:paraId="4D3121BB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B1F6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0113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1101A601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074A363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SNOMED CT Body </w:t>
              </w:r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Structures</w:t>
              </w:r>
              <w:proofErr w:type="spellEnd"/>
            </w:hyperlink>
          </w:p>
        </w:tc>
        <w:tc>
          <w:tcPr>
            <w:tcW w:w="1417" w:type="dxa"/>
          </w:tcPr>
          <w:p w14:paraId="450F1BF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FAFFAB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30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4236B" w:rsidRPr="00C77869" w14:paraId="7D0C5811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7DD1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8E916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560" w:type="dxa"/>
          </w:tcPr>
          <w:p w14:paraId="78B2B9E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7B927C46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B693D3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1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2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2051CC03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id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C4236B" w:rsidRPr="00C77869" w14:paraId="54F582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B813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B9946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77F9A7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3556DAD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17639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3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4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7C549C1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late</w:t>
            </w:r>
            <w:proofErr w:type="spellEnd"/>
          </w:p>
        </w:tc>
      </w:tr>
      <w:tr w:rsidR="00C4236B" w:rsidRPr="00C77869" w14:paraId="54542B7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E59B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15D6D8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01DFE9E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061BDBD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35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75CD9A0D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BD87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54CCD14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36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50868975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C77869" w14:paraId="2099D312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14458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C28F4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D7BFB7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186B1AEA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37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5FF4414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878F21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38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39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12EC707E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13A4493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40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41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</w:tc>
      </w:tr>
      <w:tr w:rsidR="00C4236B" w:rsidRPr="00C77869" w14:paraId="5460DF69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3185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09309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9A2E8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7DF6EB4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hyperlink r:id="rId42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04AD93B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07689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BR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43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4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  <w:p w14:paraId="4143E4F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64B37A1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5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administracao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hyperlink r:id="rId46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BR"/>
                </w:rPr>
                <w:t>Medicine Route of Administration - IPS</w:t>
              </w:r>
            </w:hyperlink>
          </w:p>
        </w:tc>
      </w:tr>
      <w:tr w:rsidR="00C4236B" w:rsidRPr="00C77869" w14:paraId="5E1A5ED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7AB6B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27ED67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25CB77D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Profissional que administrou a vacina</w:t>
            </w:r>
          </w:p>
        </w:tc>
        <w:tc>
          <w:tcPr>
            <w:tcW w:w="2126" w:type="dxa"/>
          </w:tcPr>
          <w:p w14:paraId="09C12A68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848D3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4229F14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 será exibida a referência como informada pela RNDS</w:t>
            </w:r>
          </w:p>
        </w:tc>
      </w:tr>
      <w:tr w:rsidR="00C4236B" w:rsidRPr="00C77869" w14:paraId="6F2E484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B5A92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protocolApplied.doseNumber.doseNumberString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276D2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B9424AC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da dose aplicada</w:t>
            </w:r>
          </w:p>
        </w:tc>
        <w:tc>
          <w:tcPr>
            <w:tcW w:w="2126" w:type="dxa"/>
          </w:tcPr>
          <w:p w14:paraId="5D4FC5B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6087D2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A475FA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F118E37" w14:textId="77777777" w:rsidR="00C4236B" w:rsidRP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sectPr w:rsidR="00C4236B" w:rsidRPr="00C4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212913"/>
    <w:rsid w:val="003463AB"/>
    <w:rsid w:val="0035381B"/>
    <w:rsid w:val="00354C32"/>
    <w:rsid w:val="003955DB"/>
    <w:rsid w:val="003B6646"/>
    <w:rsid w:val="00483CCE"/>
    <w:rsid w:val="004F75D4"/>
    <w:rsid w:val="00500915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A7AC6"/>
    <w:rsid w:val="00BF2592"/>
    <w:rsid w:val="00C4236B"/>
    <w:rsid w:val="00C42D4B"/>
    <w:rsid w:val="00C96171"/>
    <w:rsid w:val="00CA099E"/>
    <w:rsid w:val="00CB7195"/>
    <w:rsid w:val="00CC258D"/>
    <w:rsid w:val="00D01F6E"/>
    <w:rsid w:val="00D848AF"/>
    <w:rsid w:val="00D95D40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C4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oclweb2.gointerop.com/" TargetMode="External"/><Relationship Id="rId39" Type="http://schemas.openxmlformats.org/officeDocument/2006/relationships/hyperlink" Target="https://oclweb2.gointerop.com/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oclapi2.gointerop.com/orgs/HL7/collections/Languag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uv/ips/ValueSet/vaccines-snomed-ct-ips-free-set" TargetMode="External"/><Relationship Id="rId29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s://oclapi2.gointerop.com/orgs/MS/sources/BRRegistroOrige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s://oclweb2.gointerop.com/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oclweb2.gointerop.com/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oclweb2.gointerop.com/" TargetMode="External"/><Relationship Id="rId44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mmunization-status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hl7.org/fhir/ValueSet/immunization-stat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://hl7.org/fhir/uv/ips/ValueSet/vaccines-snomed-ct-ips-free-set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5</cp:revision>
  <dcterms:created xsi:type="dcterms:W3CDTF">2023-09-18T14:04:00Z</dcterms:created>
  <dcterms:modified xsi:type="dcterms:W3CDTF">2023-09-20T22:13:00Z</dcterms:modified>
</cp:coreProperties>
</file>