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480" w14:textId="77777777" w:rsidR="00A303C1" w:rsidRPr="008750A0" w:rsidRDefault="00000000">
      <w:pPr>
        <w:pStyle w:val="Heading1"/>
        <w:jc w:val="center"/>
        <w:rPr>
          <w:sz w:val="28"/>
          <w:szCs w:val="28"/>
          <w:lang w:val="pt-BR"/>
        </w:rPr>
      </w:pPr>
      <w:bookmarkStart w:id="0" w:name="_yb71w17a88uu" w:colFirst="0" w:colLast="0"/>
      <w:bookmarkEnd w:id="0"/>
      <w:r w:rsidRPr="008750A0">
        <w:rPr>
          <w:sz w:val="28"/>
          <w:szCs w:val="28"/>
          <w:lang w:val="pt-BR"/>
        </w:rPr>
        <w:t>Sumário Internacional do Paciente - Brasil</w:t>
      </w:r>
    </w:p>
    <w:p w14:paraId="72DE9913" w14:textId="77777777" w:rsidR="00A303C1" w:rsidRPr="008750A0" w:rsidRDefault="00A303C1">
      <w:pPr>
        <w:rPr>
          <w:lang w:val="pt-BR"/>
        </w:rPr>
      </w:pPr>
    </w:p>
    <w:p w14:paraId="60A3615D" w14:textId="0F02E01B" w:rsidR="00A303C1" w:rsidRPr="008750A0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bookmarkStart w:id="1" w:name="_vfujvka2petx" w:colFirst="0" w:colLast="0"/>
      <w:bookmarkEnd w:id="1"/>
      <w:r w:rsidRPr="008750A0">
        <w:rPr>
          <w:color w:val="000000"/>
          <w:sz w:val="24"/>
          <w:szCs w:val="24"/>
          <w:lang w:val="pt-BR"/>
        </w:rPr>
        <w:t>Beatriz de Faria Leao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Pr="008750A0">
        <w:rPr>
          <w:color w:val="000000"/>
          <w:sz w:val="24"/>
          <w:szCs w:val="24"/>
          <w:lang w:val="pt-BR"/>
        </w:rPr>
        <w:t>Italo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Macedo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Joice Machado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Fabiane Motter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Sabrina </w:t>
      </w:r>
      <w:proofErr w:type="spellStart"/>
      <w:r w:rsidRPr="008750A0">
        <w:rPr>
          <w:color w:val="000000"/>
          <w:sz w:val="24"/>
          <w:szCs w:val="24"/>
          <w:lang w:val="pt-BR"/>
        </w:rPr>
        <w:t>DalBosco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Gadenz</w:t>
      </w:r>
      <w:r w:rsidRPr="008750A0">
        <w:rPr>
          <w:color w:val="000000"/>
          <w:sz w:val="24"/>
          <w:szCs w:val="24"/>
          <w:vertAlign w:val="superscript"/>
          <w:lang w:val="pt-BR"/>
        </w:rPr>
        <w:t>1,</w:t>
      </w:r>
      <w:r w:rsidRPr="008750A0">
        <w:rPr>
          <w:color w:val="000000"/>
          <w:sz w:val="24"/>
          <w:szCs w:val="24"/>
          <w:lang w:val="pt-BR"/>
        </w:rPr>
        <w:t xml:space="preserve"> </w:t>
      </w:r>
      <w:r w:rsidR="008750A0">
        <w:rPr>
          <w:color w:val="000000"/>
          <w:sz w:val="24"/>
          <w:szCs w:val="24"/>
          <w:lang w:val="pt-BR"/>
        </w:rPr>
        <w:t>Karla Kalvette</w:t>
      </w:r>
      <w:r w:rsidR="008750A0" w:rsidRPr="008750A0">
        <w:rPr>
          <w:color w:val="000000"/>
          <w:sz w:val="24"/>
          <w:szCs w:val="24"/>
          <w:vertAlign w:val="superscript"/>
          <w:lang w:val="pt-BR"/>
        </w:rPr>
        <w:t>2</w:t>
      </w:r>
      <w:r w:rsidR="008750A0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Gabriella Nunes Alves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Robson</w:t>
      </w:r>
      <w:r w:rsidRPr="008750A0"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 </w:t>
      </w:r>
      <w:r w:rsidRPr="008750A0">
        <w:rPr>
          <w:color w:val="000000"/>
          <w:sz w:val="24"/>
          <w:szCs w:val="24"/>
          <w:lang w:val="pt-BR"/>
        </w:rPr>
        <w:t>Willian de Melo Matos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Paula Xavier dos Santos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</w:p>
    <w:p w14:paraId="76DB298A" w14:textId="77777777" w:rsidR="00A303C1" w:rsidRDefault="00000000">
      <w:pPr>
        <w:rPr>
          <w:lang w:val="pt-BR"/>
        </w:rPr>
      </w:pPr>
      <w:proofErr w:type="gramStart"/>
      <w:r w:rsidRPr="008750A0">
        <w:rPr>
          <w:vertAlign w:val="superscript"/>
          <w:lang w:val="pt-BR"/>
        </w:rPr>
        <w:t>1</w:t>
      </w:r>
      <w:r w:rsidRPr="008750A0">
        <w:rPr>
          <w:lang w:val="pt-BR"/>
        </w:rPr>
        <w:t xml:space="preserve">  Portfólio</w:t>
      </w:r>
      <w:proofErr w:type="gramEnd"/>
      <w:r w:rsidRPr="008750A0">
        <w:rPr>
          <w:lang w:val="pt-BR"/>
        </w:rPr>
        <w:t xml:space="preserve"> Digital, Diretoria de Compromisso Social, Hospital Sírio Libanês, São Paulo, SP</w:t>
      </w:r>
    </w:p>
    <w:p w14:paraId="1B0D2A22" w14:textId="3FC0915E" w:rsidR="008750A0" w:rsidRPr="008750A0" w:rsidRDefault="008750A0">
      <w:pPr>
        <w:rPr>
          <w:lang w:val="en-BR"/>
        </w:rPr>
      </w:pPr>
      <w:proofErr w:type="gramStart"/>
      <w:r>
        <w:rPr>
          <w:vertAlign w:val="superscript"/>
          <w:lang w:val="pt-BR"/>
        </w:rPr>
        <w:t>2</w:t>
      </w:r>
      <w:r w:rsidRPr="008750A0">
        <w:rPr>
          <w:lang w:val="pt-BR"/>
        </w:rPr>
        <w:t xml:space="preserve">  </w:t>
      </w:r>
      <w:r w:rsidRPr="008750A0">
        <w:rPr>
          <w:lang w:val="en-BR"/>
        </w:rPr>
        <w:t>Departamento</w:t>
      </w:r>
      <w:proofErr w:type="gramEnd"/>
      <w:r w:rsidRPr="008750A0">
        <w:rPr>
          <w:lang w:val="en-BR"/>
        </w:rPr>
        <w:t xml:space="preserve"> de Imunização e</w:t>
      </w:r>
      <w:r w:rsidRPr="008750A0">
        <w:rPr>
          <w:lang w:val="pt-BR"/>
        </w:rPr>
        <w:t xml:space="preserve"> </w:t>
      </w:r>
      <w:r w:rsidRPr="008750A0">
        <w:rPr>
          <w:lang w:val="en-BR"/>
        </w:rPr>
        <w:t>Doenças Imunopreveníveis</w:t>
      </w:r>
      <w:r w:rsidRPr="008750A0">
        <w:rPr>
          <w:lang w:val="pt-BR"/>
        </w:rPr>
        <w:t xml:space="preserve">, </w:t>
      </w:r>
      <w:r w:rsidRPr="008750A0">
        <w:rPr>
          <w:lang w:val="en-BR"/>
        </w:rPr>
        <w:t>Secretaria de Vigilância em Saúde e Ambiente</w:t>
      </w:r>
      <w:r w:rsidRPr="008750A0">
        <w:rPr>
          <w:lang w:val="pt-BR"/>
        </w:rPr>
        <w:t>, Ministério da Saúde</w:t>
      </w:r>
      <w:r>
        <w:rPr>
          <w:lang w:val="pt-BR"/>
        </w:rPr>
        <w:t>, DF</w:t>
      </w:r>
    </w:p>
    <w:p w14:paraId="50D57D88" w14:textId="1E1B0274" w:rsidR="00A303C1" w:rsidRPr="008750A0" w:rsidRDefault="008750A0">
      <w:pPr>
        <w:rPr>
          <w:lang w:val="pt-BR"/>
        </w:rPr>
      </w:pPr>
      <w:proofErr w:type="gramStart"/>
      <w:r>
        <w:rPr>
          <w:vertAlign w:val="superscript"/>
          <w:lang w:val="pt-BR"/>
        </w:rPr>
        <w:t>3</w:t>
      </w:r>
      <w:r w:rsidR="00000000" w:rsidRPr="008750A0">
        <w:rPr>
          <w:lang w:val="pt-BR"/>
        </w:rPr>
        <w:t xml:space="preserve">  Coordenação</w:t>
      </w:r>
      <w:proofErr w:type="gramEnd"/>
      <w:r w:rsidR="00000000" w:rsidRPr="008750A0">
        <w:rPr>
          <w:lang w:val="pt-BR"/>
        </w:rPr>
        <w:t xml:space="preserve"> Geral de Inovação e Informática em Saúde, Secretaria de Informação e Saúde Digital, Ministério da Saúde</w:t>
      </w:r>
      <w:r>
        <w:rPr>
          <w:lang w:val="pt-BR"/>
        </w:rPr>
        <w:t>, D</w:t>
      </w:r>
      <w:r w:rsidR="00000000" w:rsidRPr="008750A0">
        <w:rPr>
          <w:rFonts w:ascii="Roboto" w:eastAsia="Roboto" w:hAnsi="Roboto" w:cs="Roboto"/>
          <w:sz w:val="21"/>
          <w:szCs w:val="21"/>
          <w:highlight w:val="white"/>
          <w:lang w:val="pt-BR"/>
        </w:rPr>
        <w:t>.</w:t>
      </w:r>
      <w:r w:rsidR="00000000" w:rsidRPr="008750A0">
        <w:rPr>
          <w:rFonts w:ascii="Roboto" w:eastAsia="Roboto" w:hAnsi="Roboto" w:cs="Roboto"/>
          <w:sz w:val="21"/>
          <w:szCs w:val="21"/>
          <w:lang w:val="pt-BR"/>
        </w:rPr>
        <w:t xml:space="preserve"> </w:t>
      </w:r>
    </w:p>
    <w:p w14:paraId="293DA18D" w14:textId="77777777" w:rsidR="00A303C1" w:rsidRPr="008750A0" w:rsidRDefault="00A303C1">
      <w:pPr>
        <w:rPr>
          <w:lang w:val="pt-BR"/>
        </w:rPr>
      </w:pPr>
    </w:p>
    <w:p w14:paraId="3C6B5B37" w14:textId="77777777" w:rsidR="00A303C1" w:rsidRPr="008750A0" w:rsidRDefault="00A303C1">
      <w:pPr>
        <w:rPr>
          <w:lang w:val="pt-BR"/>
        </w:rPr>
      </w:pPr>
    </w:p>
    <w:p w14:paraId="29E46188" w14:textId="77777777" w:rsidR="00A303C1" w:rsidRPr="008750A0" w:rsidRDefault="00000000">
      <w:pPr>
        <w:rPr>
          <w:lang w:val="pt-BR"/>
        </w:rPr>
      </w:pPr>
      <w:bookmarkStart w:id="2" w:name="_vsxhypuksq4o" w:colFirst="0" w:colLast="0"/>
      <w:bookmarkEnd w:id="2"/>
      <w:r w:rsidRPr="008750A0">
        <w:rPr>
          <w:lang w:val="pt-BR"/>
        </w:rPr>
        <w:t>Palavras-Chave: interoperabilidade, sumário do paciente, informática em saúde</w:t>
      </w:r>
    </w:p>
    <w:p w14:paraId="437BDEB2" w14:textId="77777777" w:rsidR="00A303C1" w:rsidRPr="008750A0" w:rsidRDefault="00A303C1">
      <w:pPr>
        <w:rPr>
          <w:lang w:val="pt-BR"/>
        </w:rPr>
      </w:pPr>
    </w:p>
    <w:p w14:paraId="021B3CD7" w14:textId="77777777" w:rsidR="00A303C1" w:rsidRPr="008750A0" w:rsidRDefault="00000000">
      <w:pPr>
        <w:pStyle w:val="Heading1"/>
        <w:rPr>
          <w:lang w:val="pt-BR"/>
        </w:rPr>
      </w:pPr>
      <w:bookmarkStart w:id="3" w:name="_opwgmqobk595" w:colFirst="0" w:colLast="0"/>
      <w:bookmarkEnd w:id="3"/>
      <w:r w:rsidRPr="008750A0">
        <w:rPr>
          <w:lang w:val="pt-BR"/>
        </w:rPr>
        <w:t>Introdução</w:t>
      </w:r>
    </w:p>
    <w:p w14:paraId="24C94554" w14:textId="23287812" w:rsidR="00A303C1" w:rsidRPr="008750A0" w:rsidRDefault="00000000">
      <w:pPr>
        <w:jc w:val="both"/>
        <w:rPr>
          <w:lang w:val="pt-BR"/>
        </w:rPr>
      </w:pPr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é resultado de um trabalho coordenado e harmonizado entre as principais organizações produtoras de </w:t>
      </w:r>
      <w:proofErr w:type="gramStart"/>
      <w:r w:rsidRPr="008750A0">
        <w:rPr>
          <w:lang w:val="pt-BR"/>
        </w:rPr>
        <w:t>padrões  em</w:t>
      </w:r>
      <w:proofErr w:type="gramEnd"/>
      <w:r w:rsidRPr="008750A0">
        <w:rPr>
          <w:lang w:val="pt-BR"/>
        </w:rPr>
        <w:t xml:space="preserve"> informática em saúde (OPPIS): o Comitê Europeu ISO de Informática em Saúde - CEN215, o comitê ISO 215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, o HL7  e SNOMED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. O IPS foi publicado como padrão ISO em 2021 pelo Comitê ISO 215 como a norma ISO 27269:2021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 —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[2].</w:t>
      </w:r>
      <w:r w:rsidR="008750A0">
        <w:rPr>
          <w:lang w:val="pt-BR"/>
        </w:rPr>
        <w:t xml:space="preserve"> </w:t>
      </w:r>
      <w:r w:rsidR="008750A0" w:rsidRPr="008750A0">
        <w:rPr>
          <w:lang w:val="pt-BR"/>
        </w:rPr>
        <w:t>Em junho</w:t>
      </w:r>
      <w:r w:rsidRPr="008750A0">
        <w:rPr>
          <w:lang w:val="pt-BR"/>
        </w:rPr>
        <w:t xml:space="preserve"> de 2021, os países membros do G7 assinaram a declaração de Oxford, se comprometendo a adotar o Sumário Internacional do Paciente -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como padrão de troca de informação em saúde entre os países [3].  A iniciativa do G7 foi estendida para o G20 e o primeiro piloto de implantação global do IPS tem como foco o bloco de imunização COVID com a emissão do certificado internacional de imunização COVID-19.</w:t>
      </w:r>
    </w:p>
    <w:p w14:paraId="2B66DA78" w14:textId="77777777" w:rsidR="00A303C1" w:rsidRPr="008750A0" w:rsidRDefault="00A303C1">
      <w:pPr>
        <w:rPr>
          <w:lang w:val="pt-BR"/>
        </w:rPr>
      </w:pPr>
    </w:p>
    <w:p w14:paraId="7E2936B8" w14:textId="61181D5B" w:rsidR="00A303C1" w:rsidRPr="008750A0" w:rsidRDefault="00000000">
      <w:pPr>
        <w:spacing w:after="200"/>
        <w:jc w:val="both"/>
        <w:rPr>
          <w:lang w:val="pt-BR"/>
        </w:rPr>
      </w:pPr>
      <w:bookmarkStart w:id="4" w:name="_91gpfsnaf3th" w:colFirst="0" w:colLast="0"/>
      <w:bookmarkEnd w:id="4"/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– IPS) é um registro eletrônico de saúde que contém informações essenciais de saúde destinadas ao uso em cenários de atendimento não programados e transfronteiriços para garantir que os dados do paciente os acompanhem em qualquer lugar garantindo assim, a continuidade do cuidado. O </w:t>
      </w:r>
      <w:r w:rsidR="008750A0">
        <w:rPr>
          <w:lang w:val="pt-BR"/>
        </w:rPr>
        <w:t xml:space="preserve">IPS </w:t>
      </w:r>
      <w:r w:rsidRPr="008750A0">
        <w:rPr>
          <w:lang w:val="pt-BR"/>
        </w:rPr>
        <w:t xml:space="preserve"> é composto por diferentes seções principais:  Cabeçalho – contém os dados do paciente, do profissional de saúde que gerou o sumário, da organização custodiante das informações e assinatura digital;  Sumário de Medicações – medicações em uso pelo paciente; Alergias e Intolerâncias – alergias e intolerâncias do paciente;  Lista de Problemas – condições clínicas do paciente; Imunizações – lista de imunizantes administrados no paciente; Histórico de Procedimentos – lista de procedimentos clínicos/cirúrgicos relevantes que o paciente foi submetido; Dispositivos Médicos – dispositivos que o paciente possui e Resultados de Exames  - laudos de exames atuais do paciente.  Seções adicionais podem, ainda, compor o IPS, tais como:   sinais vitais, história </w:t>
      </w:r>
      <w:r w:rsidRPr="008750A0">
        <w:rPr>
          <w:lang w:val="pt-BR"/>
        </w:rPr>
        <w:lastRenderedPageBreak/>
        <w:t>pregressa incluindo a história obstétrica e social, status funcional, plano de cuidados e diretivas avançadas de vida. A Figura 1 exibe a estrutura do Sumário Internacional do Paciente.</w:t>
      </w:r>
    </w:p>
    <w:p w14:paraId="0E25297B" w14:textId="77777777" w:rsidR="00A303C1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5C6E4C76" wp14:editId="0E78289B">
            <wp:extent cx="5510213" cy="3143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1818" w14:textId="77777777" w:rsidR="00A303C1" w:rsidRPr="008750A0" w:rsidRDefault="00000000">
      <w:pPr>
        <w:spacing w:before="240" w:after="240"/>
        <w:jc w:val="center"/>
        <w:rPr>
          <w:sz w:val="20"/>
          <w:szCs w:val="20"/>
          <w:lang w:val="pt-BR"/>
        </w:rPr>
      </w:pPr>
      <w:r w:rsidRPr="008750A0">
        <w:rPr>
          <w:b/>
          <w:sz w:val="20"/>
          <w:szCs w:val="20"/>
          <w:lang w:val="pt-BR"/>
        </w:rPr>
        <w:t>Figura 1</w:t>
      </w:r>
      <w:r w:rsidRPr="008750A0">
        <w:rPr>
          <w:sz w:val="20"/>
          <w:szCs w:val="20"/>
          <w:lang w:val="pt-BR"/>
        </w:rPr>
        <w:t>: Estrutura do IPS (Fonte: HL7).</w:t>
      </w:r>
    </w:p>
    <w:p w14:paraId="386A2457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>O IPS está hoje em desenvolvimento por vários países, nos diferentes continentes: Nova Zelândia, Vietnam, Holanda, Suécia, Inglaterra, Canadá e na América Latina pela Argentina e Brasil.</w:t>
      </w:r>
    </w:p>
    <w:p w14:paraId="6E67C1B9" w14:textId="61D8550C" w:rsidR="008750A0" w:rsidRDefault="00000000" w:rsidP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Para garantir a interoperabilidade semântica das informações coletadas por diferentes países a maior e mais utilizada terminologia clínica disponível SNOMED-CT oferece um subconjunto de cerca de 30.000 conceitos de uso livre para a comunidade de desenvolvedores do padrão IPA: SNOMED-CT IPS.  </w:t>
      </w:r>
      <w:bookmarkStart w:id="5" w:name="_duyh7jp3gu75" w:colFirst="0" w:colLast="0"/>
      <w:bookmarkEnd w:id="5"/>
    </w:p>
    <w:p w14:paraId="0AD2BC57" w14:textId="77777777" w:rsidR="008750A0" w:rsidRDefault="008750A0" w:rsidP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Objetivos</w:t>
      </w:r>
    </w:p>
    <w:p w14:paraId="519002C9" w14:textId="77777777" w:rsidR="008750A0" w:rsidRDefault="008750A0" w:rsidP="008750A0">
      <w:pPr>
        <w:rPr>
          <w:lang w:val="pt-BR"/>
        </w:rPr>
      </w:pPr>
      <w:r>
        <w:rPr>
          <w:lang w:val="pt-BR"/>
        </w:rPr>
        <w:t xml:space="preserve">Implantar o Sumário Internacional do Paciente no Ministério da Saúde nos componentes </w:t>
      </w:r>
      <w:proofErr w:type="gramStart"/>
      <w:r>
        <w:rPr>
          <w:lang w:val="pt-BR"/>
        </w:rPr>
        <w:t xml:space="preserve">de  </w:t>
      </w:r>
      <w:r w:rsidRPr="008750A0">
        <w:rPr>
          <w:lang w:val="pt-BR"/>
        </w:rPr>
        <w:t>Imunização</w:t>
      </w:r>
      <w:proofErr w:type="gramEnd"/>
      <w:r w:rsidRPr="008750A0">
        <w:rPr>
          <w:lang w:val="pt-BR"/>
        </w:rPr>
        <w:t>, Exames, Alergias/Reações Adversas e Medicamentos</w:t>
      </w:r>
      <w:r>
        <w:rPr>
          <w:lang w:val="pt-BR"/>
        </w:rPr>
        <w:t xml:space="preserve"> como apoio à implantação da ESD 20-28.</w:t>
      </w:r>
    </w:p>
    <w:p w14:paraId="585A7FFA" w14:textId="77777777" w:rsidR="008750A0" w:rsidRPr="008750A0" w:rsidRDefault="008750A0" w:rsidP="008750A0">
      <w:pPr>
        <w:rPr>
          <w:lang w:val="en-BR"/>
        </w:rPr>
      </w:pPr>
    </w:p>
    <w:p w14:paraId="47916285" w14:textId="77777777" w:rsidR="008750A0" w:rsidRDefault="008750A0">
      <w:pPr>
        <w:pStyle w:val="Heading1"/>
        <w:spacing w:before="240" w:after="240"/>
        <w:jc w:val="both"/>
        <w:rPr>
          <w:lang w:val="pt-BR"/>
        </w:rPr>
      </w:pPr>
    </w:p>
    <w:p w14:paraId="4D78353A" w14:textId="2F7D7291" w:rsidR="00A303C1" w:rsidRPr="008750A0" w:rsidRDefault="008750A0">
      <w:pPr>
        <w:pStyle w:val="Heading1"/>
        <w:spacing w:before="240" w:after="240"/>
        <w:jc w:val="both"/>
        <w:rPr>
          <w:lang w:val="pt-BR"/>
        </w:rPr>
      </w:pPr>
      <w:r>
        <w:rPr>
          <w:lang w:val="pt-BR"/>
        </w:rPr>
        <w:t>Metodologia</w:t>
      </w:r>
    </w:p>
    <w:p w14:paraId="1EBF7622" w14:textId="3BDF71C9" w:rsid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PROADI </w:t>
      </w:r>
      <w:proofErr w:type="gramStart"/>
      <w:r w:rsidRPr="008750A0">
        <w:rPr>
          <w:lang w:val="pt-BR"/>
        </w:rPr>
        <w:t>-  Promoção</w:t>
      </w:r>
      <w:proofErr w:type="gramEnd"/>
      <w:r w:rsidRPr="008750A0">
        <w:rPr>
          <w:lang w:val="pt-BR"/>
        </w:rPr>
        <w:t xml:space="preserve"> do Ambiente de Interconectividade em Saúde como apoio à Implementação da Estratégia de Saúde Digital, registrado pelo NUP </w:t>
      </w:r>
      <w:r w:rsidRPr="008750A0">
        <w:rPr>
          <w:rFonts w:ascii="Calibri" w:eastAsia="Calibri" w:hAnsi="Calibri" w:cs="Calibri"/>
          <w:lang w:val="pt-BR"/>
        </w:rPr>
        <w:t>25000.087254/2022-79,</w:t>
      </w:r>
      <w:r w:rsidRPr="008750A0">
        <w:rPr>
          <w:lang w:val="pt-BR"/>
        </w:rPr>
        <w:t xml:space="preserve"> foi </w:t>
      </w:r>
      <w:r w:rsidRPr="008750A0">
        <w:rPr>
          <w:lang w:val="pt-BR"/>
        </w:rPr>
        <w:lastRenderedPageBreak/>
        <w:t xml:space="preserve">aprovado em Dezembro de 2022, com o nome fantasia de IPS Brasil. </w:t>
      </w:r>
      <w:r w:rsidR="008750A0">
        <w:rPr>
          <w:lang w:val="pt-BR"/>
        </w:rPr>
        <w:t>Para atingir os objetivos do projeto as seguintes fases estão sendo realizadas:</w:t>
      </w:r>
    </w:p>
    <w:p w14:paraId="12794146" w14:textId="674C4826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1 – Repositório Semântico – nesta fase todas as terminologias adotadas na RNDS para os componentes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HL7 FHIR R4 utilizados nos perfis que compõem o IPS deverão ser carregadas num serviço de terminologia compatível com o padrão HL7 </w:t>
      </w:r>
      <w:proofErr w:type="spellStart"/>
      <w:r>
        <w:rPr>
          <w:lang w:val="pt-BR"/>
        </w:rPr>
        <w:t>CommonTerminology</w:t>
      </w:r>
      <w:proofErr w:type="spellEnd"/>
      <w:r>
        <w:rPr>
          <w:lang w:val="pt-BR"/>
        </w:rPr>
        <w:t xml:space="preserve"> Services 2.</w:t>
      </w:r>
    </w:p>
    <w:p w14:paraId="5725E061" w14:textId="692CA4B7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2- Realizar os mapeamentos entre os </w:t>
      </w:r>
      <w:proofErr w:type="gramStart"/>
      <w:r>
        <w:rPr>
          <w:lang w:val="pt-BR"/>
        </w:rPr>
        <w:t>vocabulários  locais</w:t>
      </w:r>
      <w:proofErr w:type="gramEnd"/>
      <w:r>
        <w:rPr>
          <w:lang w:val="pt-BR"/>
        </w:rPr>
        <w:t xml:space="preserve"> e os vocabulários internacionais do IPS e inserir estes dados como mapas de conceito no serviço de terminologia.</w:t>
      </w:r>
    </w:p>
    <w:p w14:paraId="00F9A326" w14:textId="738A0556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3 </w:t>
      </w:r>
      <w:proofErr w:type="gramStart"/>
      <w:r>
        <w:rPr>
          <w:lang w:val="pt-BR"/>
        </w:rPr>
        <w:t>–  Traduzir</w:t>
      </w:r>
      <w:proofErr w:type="gramEnd"/>
      <w:r>
        <w:rPr>
          <w:lang w:val="pt-BR"/>
        </w:rPr>
        <w:t xml:space="preserve"> e incorporar os acoplamentos semânticos e referenciais nos perfis HL7 FHIR do IPS conforme os vocabulários nacionais e mapas de conceito definidos e incorporados no serviço de terminologia</w:t>
      </w:r>
    </w:p>
    <w:p w14:paraId="5EEA2502" w14:textId="459BD2B2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4 – Gerar o Guia de Implementação do IPS Brasil e publicar no sítio IPS Brasil </w:t>
      </w:r>
    </w:p>
    <w:p w14:paraId="386DD7C2" w14:textId="4D579558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5 – Realizar prova de conceito por meio de um </w:t>
      </w:r>
      <w:proofErr w:type="spellStart"/>
      <w:r>
        <w:rPr>
          <w:lang w:val="pt-BR"/>
        </w:rPr>
        <w:t>connecthaton</w:t>
      </w:r>
      <w:proofErr w:type="spellEnd"/>
      <w:r>
        <w:rPr>
          <w:lang w:val="pt-BR"/>
        </w:rPr>
        <w:t xml:space="preserve"> interno no MS para buscar os dados na RNDS e gerar um Sumário Internacional do Paciente, ao mesmo tempo que testar o recebimento de sumários internacionais </w:t>
      </w:r>
    </w:p>
    <w:p w14:paraId="220459A6" w14:textId="77777777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</w:p>
    <w:p w14:paraId="096A723A" w14:textId="260B890F" w:rsidR="008750A0" w:rsidRDefault="008750A0" w:rsidP="008750A0">
      <w:pPr>
        <w:pStyle w:val="Heading1"/>
        <w:rPr>
          <w:lang w:val="pt-BR"/>
        </w:rPr>
      </w:pPr>
      <w:r>
        <w:rPr>
          <w:lang w:val="pt-BR"/>
        </w:rPr>
        <w:t xml:space="preserve">Resultados  </w:t>
      </w:r>
    </w:p>
    <w:p w14:paraId="21E5A5C3" w14:textId="6D739492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Todas as terminologias dos blocos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>, bem como as terminologias internacionais adotadas no IPS incluindo SNOMED CT IPS, e os Dicionários do HL7 FHIR R4 utilizados nos perfis que compõem o IPS</w:t>
      </w:r>
      <w:r>
        <w:rPr>
          <w:lang w:val="pt-BR"/>
        </w:rPr>
        <w:t xml:space="preserve"> estão carregadas no Serviço de Terminologia Open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Lab. Além das terminologias as respectivas coleções que representam conjuntos de várias terminologias também foram carregadas no serviço de terminologia. A Tabela abaixo exibe o número de dicionários (</w:t>
      </w:r>
      <w:proofErr w:type="spellStart"/>
      <w:r>
        <w:rPr>
          <w:lang w:val="pt-BR"/>
        </w:rPr>
        <w:t>CodeSystems</w:t>
      </w:r>
      <w:proofErr w:type="spellEnd"/>
      <w:r>
        <w:rPr>
          <w:lang w:val="pt-BR"/>
        </w:rPr>
        <w:t>) e coleções por organização.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86"/>
        <w:gridCol w:w="3090"/>
        <w:gridCol w:w="3084"/>
      </w:tblGrid>
      <w:tr w:rsidR="008750A0" w:rsidRPr="008750A0" w14:paraId="72BF19A3" w14:textId="77777777" w:rsidTr="008750A0">
        <w:tc>
          <w:tcPr>
            <w:tcW w:w="3116" w:type="dxa"/>
          </w:tcPr>
          <w:p w14:paraId="58117384" w14:textId="3D5AFE7F" w:rsidR="008750A0" w:rsidRPr="008750A0" w:rsidRDefault="008750A0">
            <w:pPr>
              <w:pStyle w:val="Heading1"/>
              <w:spacing w:before="240" w:after="24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bookmarkStart w:id="6" w:name="_dauvv5qyw6kx" w:colFirst="0" w:colLast="0"/>
            <w:bookmarkEnd w:id="6"/>
            <w:r w:rsidRPr="008750A0">
              <w:rPr>
                <w:b w:val="0"/>
                <w:bCs/>
                <w:sz w:val="22"/>
                <w:szCs w:val="22"/>
                <w:lang w:val="pt-BR"/>
              </w:rPr>
              <w:lastRenderedPageBreak/>
              <w:t>Organização</w:t>
            </w:r>
          </w:p>
        </w:tc>
        <w:tc>
          <w:tcPr>
            <w:tcW w:w="3117" w:type="dxa"/>
          </w:tcPr>
          <w:p w14:paraId="30896F63" w14:textId="171298C9" w:rsidR="008750A0" w:rsidRPr="008750A0" w:rsidRDefault="008750A0">
            <w:pPr>
              <w:pStyle w:val="Heading1"/>
              <w:spacing w:before="240" w:after="24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Dicionário (</w:t>
            </w: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CodeSystem</w:t>
            </w:r>
            <w:proofErr w:type="spellEnd"/>
            <w:r w:rsidRPr="008750A0">
              <w:rPr>
                <w:b w:val="0"/>
                <w:bCs/>
                <w:sz w:val="22"/>
                <w:szCs w:val="22"/>
                <w:lang w:val="pt-BR"/>
              </w:rPr>
              <w:t>)</w:t>
            </w:r>
          </w:p>
        </w:tc>
        <w:tc>
          <w:tcPr>
            <w:tcW w:w="3117" w:type="dxa"/>
          </w:tcPr>
          <w:p w14:paraId="2382FA0A" w14:textId="162E263A" w:rsidR="008750A0" w:rsidRPr="008750A0" w:rsidRDefault="008750A0">
            <w:pPr>
              <w:pStyle w:val="Heading1"/>
              <w:spacing w:before="240" w:after="24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Coleção (</w:t>
            </w: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ValueSet</w:t>
            </w:r>
            <w:proofErr w:type="spellEnd"/>
            <w:r w:rsidRPr="008750A0">
              <w:rPr>
                <w:b w:val="0"/>
                <w:bCs/>
                <w:sz w:val="22"/>
                <w:szCs w:val="22"/>
                <w:lang w:val="pt-BR"/>
              </w:rPr>
              <w:t>)</w:t>
            </w:r>
          </w:p>
        </w:tc>
      </w:tr>
      <w:tr w:rsidR="008750A0" w:rsidRPr="008750A0" w14:paraId="12FC41AA" w14:textId="77777777" w:rsidTr="008750A0">
        <w:tc>
          <w:tcPr>
            <w:tcW w:w="3116" w:type="dxa"/>
          </w:tcPr>
          <w:p w14:paraId="28477169" w14:textId="3AC0D0A6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HL7</w:t>
            </w:r>
          </w:p>
        </w:tc>
        <w:tc>
          <w:tcPr>
            <w:tcW w:w="3117" w:type="dxa"/>
          </w:tcPr>
          <w:p w14:paraId="57D691E6" w14:textId="3BFA4341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25</w:t>
            </w:r>
          </w:p>
        </w:tc>
        <w:tc>
          <w:tcPr>
            <w:tcW w:w="3117" w:type="dxa"/>
          </w:tcPr>
          <w:p w14:paraId="5DA80CB4" w14:textId="21658FD6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34</w:t>
            </w:r>
          </w:p>
        </w:tc>
      </w:tr>
      <w:tr w:rsidR="008750A0" w:rsidRPr="008750A0" w14:paraId="41A8B2D1" w14:textId="77777777" w:rsidTr="008750A0">
        <w:tc>
          <w:tcPr>
            <w:tcW w:w="3116" w:type="dxa"/>
          </w:tcPr>
          <w:p w14:paraId="48C70FE7" w14:textId="5B508367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IBGE</w:t>
            </w:r>
          </w:p>
        </w:tc>
        <w:tc>
          <w:tcPr>
            <w:tcW w:w="3117" w:type="dxa"/>
          </w:tcPr>
          <w:p w14:paraId="17B9E42B" w14:textId="3ACDE2E1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3117" w:type="dxa"/>
          </w:tcPr>
          <w:p w14:paraId="5172F187" w14:textId="77777777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</w:p>
        </w:tc>
      </w:tr>
      <w:tr w:rsidR="008750A0" w:rsidRPr="008750A0" w14:paraId="2B2C9521" w14:textId="77777777" w:rsidTr="008750A0">
        <w:tc>
          <w:tcPr>
            <w:tcW w:w="3116" w:type="dxa"/>
          </w:tcPr>
          <w:p w14:paraId="38E0647F" w14:textId="0B26CDE6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Regenstrief</w:t>
            </w:r>
            <w:proofErr w:type="spellEnd"/>
            <w:r w:rsidRPr="008750A0">
              <w:rPr>
                <w:b w:val="0"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Institute</w:t>
            </w:r>
            <w:proofErr w:type="spellEnd"/>
          </w:p>
        </w:tc>
        <w:tc>
          <w:tcPr>
            <w:tcW w:w="3117" w:type="dxa"/>
          </w:tcPr>
          <w:p w14:paraId="137C2FD6" w14:textId="6AB5B723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3117" w:type="dxa"/>
          </w:tcPr>
          <w:p w14:paraId="1E43D419" w14:textId="77777777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</w:p>
        </w:tc>
      </w:tr>
      <w:tr w:rsidR="008750A0" w:rsidRPr="008750A0" w14:paraId="39125974" w14:textId="77777777" w:rsidTr="008750A0">
        <w:tc>
          <w:tcPr>
            <w:tcW w:w="3116" w:type="dxa"/>
          </w:tcPr>
          <w:p w14:paraId="32D4F853" w14:textId="7A18A600" w:rsidR="008750A0" w:rsidRPr="008750A0" w:rsidRDefault="008750A0" w:rsidP="008750A0">
            <w:pPr>
              <w:pStyle w:val="Heading1"/>
              <w:spacing w:before="0" w:after="120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International</w:t>
            </w:r>
            <w:proofErr w:type="spellEnd"/>
            <w:r w:rsidRPr="008750A0">
              <w:rPr>
                <w:b w:val="0"/>
                <w:bCs/>
                <w:sz w:val="22"/>
                <w:szCs w:val="22"/>
                <w:lang w:val="pt-BR"/>
              </w:rPr>
              <w:t xml:space="preserve"> Labour </w:t>
            </w:r>
            <w:proofErr w:type="spellStart"/>
            <w:r w:rsidRPr="008750A0">
              <w:rPr>
                <w:b w:val="0"/>
                <w:bCs/>
                <w:sz w:val="22"/>
                <w:szCs w:val="22"/>
                <w:lang w:val="pt-BR"/>
              </w:rPr>
              <w:t>Organization</w:t>
            </w:r>
            <w:proofErr w:type="spellEnd"/>
            <w:r w:rsidRPr="008750A0">
              <w:rPr>
                <w:b w:val="0"/>
                <w:bCs/>
                <w:sz w:val="22"/>
                <w:szCs w:val="22"/>
                <w:lang w:val="pt-BR"/>
              </w:rPr>
              <w:t xml:space="preserve"> -ILO</w:t>
            </w:r>
          </w:p>
        </w:tc>
        <w:tc>
          <w:tcPr>
            <w:tcW w:w="3117" w:type="dxa"/>
          </w:tcPr>
          <w:p w14:paraId="2F47558E" w14:textId="1EA537F3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 w:rsidRPr="008750A0"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3117" w:type="dxa"/>
          </w:tcPr>
          <w:p w14:paraId="5EA9F469" w14:textId="77777777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</w:p>
        </w:tc>
      </w:tr>
      <w:tr w:rsidR="008750A0" w:rsidRPr="008750A0" w14:paraId="39720583" w14:textId="77777777" w:rsidTr="008750A0">
        <w:tc>
          <w:tcPr>
            <w:tcW w:w="3116" w:type="dxa"/>
          </w:tcPr>
          <w:p w14:paraId="37A6368F" w14:textId="6B20C348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SNOMED</w:t>
            </w:r>
          </w:p>
        </w:tc>
        <w:tc>
          <w:tcPr>
            <w:tcW w:w="3117" w:type="dxa"/>
          </w:tcPr>
          <w:p w14:paraId="7E87EBEE" w14:textId="62F0906C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3117" w:type="dxa"/>
          </w:tcPr>
          <w:p w14:paraId="3F72FD73" w14:textId="41E17566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</w:tr>
      <w:tr w:rsidR="008750A0" w:rsidRPr="008750A0" w14:paraId="26F3F9F8" w14:textId="77777777" w:rsidTr="008750A0">
        <w:tc>
          <w:tcPr>
            <w:tcW w:w="3116" w:type="dxa"/>
          </w:tcPr>
          <w:p w14:paraId="5182B931" w14:textId="723A002B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ANVISA</w:t>
            </w:r>
          </w:p>
        </w:tc>
        <w:tc>
          <w:tcPr>
            <w:tcW w:w="3117" w:type="dxa"/>
          </w:tcPr>
          <w:p w14:paraId="1F07666B" w14:textId="36256D54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3117" w:type="dxa"/>
          </w:tcPr>
          <w:p w14:paraId="79F0D3A2" w14:textId="77777777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</w:p>
        </w:tc>
      </w:tr>
      <w:tr w:rsidR="008750A0" w:rsidRPr="008750A0" w14:paraId="747D51DA" w14:textId="77777777" w:rsidTr="008750A0">
        <w:tc>
          <w:tcPr>
            <w:tcW w:w="3116" w:type="dxa"/>
          </w:tcPr>
          <w:p w14:paraId="472BF706" w14:textId="155D3971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OMS</w:t>
            </w:r>
          </w:p>
        </w:tc>
        <w:tc>
          <w:tcPr>
            <w:tcW w:w="3117" w:type="dxa"/>
          </w:tcPr>
          <w:p w14:paraId="7CB07253" w14:textId="347161B8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3117" w:type="dxa"/>
          </w:tcPr>
          <w:p w14:paraId="181EE67F" w14:textId="77777777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</w:p>
        </w:tc>
      </w:tr>
      <w:tr w:rsidR="008750A0" w:rsidRPr="008750A0" w14:paraId="6AB69942" w14:textId="77777777" w:rsidTr="008750A0">
        <w:tc>
          <w:tcPr>
            <w:tcW w:w="3116" w:type="dxa"/>
          </w:tcPr>
          <w:p w14:paraId="6CE95EF7" w14:textId="17A0EA9C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MS</w:t>
            </w:r>
          </w:p>
        </w:tc>
        <w:tc>
          <w:tcPr>
            <w:tcW w:w="3117" w:type="dxa"/>
          </w:tcPr>
          <w:p w14:paraId="4FED1627" w14:textId="44396AB7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57</w:t>
            </w:r>
          </w:p>
        </w:tc>
        <w:tc>
          <w:tcPr>
            <w:tcW w:w="3117" w:type="dxa"/>
          </w:tcPr>
          <w:p w14:paraId="5577A9B6" w14:textId="354B2E6D" w:rsidR="008750A0" w:rsidRP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29</w:t>
            </w:r>
          </w:p>
        </w:tc>
      </w:tr>
      <w:tr w:rsidR="008750A0" w:rsidRPr="008750A0" w14:paraId="6571BD5F" w14:textId="77777777" w:rsidTr="008750A0">
        <w:tc>
          <w:tcPr>
            <w:tcW w:w="3116" w:type="dxa"/>
          </w:tcPr>
          <w:p w14:paraId="440AF2CF" w14:textId="32E01AE6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17" w:type="dxa"/>
          </w:tcPr>
          <w:p w14:paraId="7311BBA0" w14:textId="79F7AB89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90</w:t>
            </w:r>
          </w:p>
        </w:tc>
        <w:tc>
          <w:tcPr>
            <w:tcW w:w="3117" w:type="dxa"/>
          </w:tcPr>
          <w:p w14:paraId="0A57CD75" w14:textId="21FBF1C2" w:rsidR="008750A0" w:rsidRDefault="008750A0" w:rsidP="008750A0">
            <w:pPr>
              <w:pStyle w:val="Heading1"/>
              <w:spacing w:before="0" w:after="120"/>
              <w:jc w:val="both"/>
              <w:outlineLvl w:val="0"/>
              <w:rPr>
                <w:b w:val="0"/>
                <w:bCs/>
                <w:sz w:val="22"/>
                <w:szCs w:val="22"/>
                <w:lang w:val="pt-BR"/>
              </w:rPr>
            </w:pPr>
            <w:r>
              <w:rPr>
                <w:b w:val="0"/>
                <w:bCs/>
                <w:sz w:val="22"/>
                <w:szCs w:val="22"/>
                <w:lang w:val="pt-BR"/>
              </w:rPr>
              <w:t>64</w:t>
            </w:r>
          </w:p>
        </w:tc>
      </w:tr>
    </w:tbl>
    <w:p w14:paraId="2FF96FF9" w14:textId="77777777" w:rsidR="008750A0" w:rsidRDefault="008750A0" w:rsidP="008750A0">
      <w:pPr>
        <w:pStyle w:val="Heading1"/>
        <w:spacing w:before="0" w:after="120" w:line="240" w:lineRule="auto"/>
        <w:ind w:left="90"/>
        <w:jc w:val="both"/>
        <w:rPr>
          <w:sz w:val="26"/>
          <w:szCs w:val="26"/>
          <w:lang w:val="pt-BR"/>
        </w:rPr>
      </w:pPr>
    </w:p>
    <w:p w14:paraId="43B2A01F" w14:textId="77777777" w:rsidR="008750A0" w:rsidRDefault="008750A0" w:rsidP="008750A0">
      <w:pPr>
        <w:rPr>
          <w:lang w:val="pt-BR"/>
        </w:rPr>
      </w:pPr>
    </w:p>
    <w:p w14:paraId="43CA998C" w14:textId="745F3336" w:rsidR="008750A0" w:rsidRPr="008750A0" w:rsidRDefault="008750A0" w:rsidP="008750A0">
      <w:pPr>
        <w:rPr>
          <w:lang w:val="pt-BR"/>
        </w:rPr>
      </w:pPr>
      <w:r>
        <w:rPr>
          <w:lang w:val="pt-BR"/>
        </w:rPr>
        <w:t xml:space="preserve">  </w:t>
      </w:r>
    </w:p>
    <w:p w14:paraId="7AA5E7FB" w14:textId="77777777" w:rsidR="008750A0" w:rsidRDefault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</w:p>
    <w:p w14:paraId="415AC2D1" w14:textId="1BC1F377" w:rsidR="00A303C1" w:rsidRPr="008750A0" w:rsidRDefault="0000000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 w:rsidRPr="008750A0">
        <w:rPr>
          <w:sz w:val="26"/>
          <w:szCs w:val="26"/>
          <w:lang w:val="pt-BR"/>
        </w:rPr>
        <w:t>Status atual do Projeto IPS Brasil</w:t>
      </w:r>
    </w:p>
    <w:p w14:paraId="51F0AE28" w14:textId="77777777" w:rsidR="00A303C1" w:rsidRPr="008750A0" w:rsidRDefault="00000000">
      <w:pPr>
        <w:rPr>
          <w:lang w:val="pt-BR"/>
        </w:rPr>
      </w:pPr>
      <w:r w:rsidRPr="008750A0">
        <w:rPr>
          <w:lang w:val="pt-BR"/>
        </w:rPr>
        <w:t xml:space="preserve">O projeto IPS Brasil nestes primeiros seis meses de trabalho focou nos quatro primeiros objetivos acima mencionados. </w:t>
      </w:r>
    </w:p>
    <w:p w14:paraId="19561365" w14:textId="77777777" w:rsidR="00A303C1" w:rsidRPr="008750A0" w:rsidRDefault="00000000">
      <w:pPr>
        <w:pStyle w:val="Heading2"/>
        <w:rPr>
          <w:lang w:val="pt-BR"/>
        </w:rPr>
      </w:pPr>
      <w:bookmarkStart w:id="7" w:name="_blyzeafdv3gi" w:colFirst="0" w:colLast="0"/>
      <w:bookmarkEnd w:id="7"/>
      <w:r w:rsidRPr="008750A0">
        <w:rPr>
          <w:lang w:val="pt-BR"/>
        </w:rPr>
        <w:t>Criação do Repositório Semântico do IPS Brasil</w:t>
      </w:r>
    </w:p>
    <w:p w14:paraId="1632BB86" w14:textId="77777777" w:rsidR="00A303C1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Todas as terminologias utilizadas no ambiente da RNDS para os blocos de Imunização, Exames, Alergias/Reações Adversas, Medicamentos foram carregadas no serviço de terminologia Open </w:t>
      </w:r>
      <w:proofErr w:type="spellStart"/>
      <w:r w:rsidRPr="008750A0">
        <w:rPr>
          <w:lang w:val="pt-BR"/>
        </w:rPr>
        <w:t>Concept</w:t>
      </w:r>
      <w:proofErr w:type="spellEnd"/>
      <w:r w:rsidRPr="008750A0">
        <w:rPr>
          <w:lang w:val="pt-BR"/>
        </w:rPr>
        <w:t xml:space="preserve"> Lab. Este é um serviço de terminologia open </w:t>
      </w:r>
      <w:proofErr w:type="spellStart"/>
      <w:r w:rsidRPr="008750A0">
        <w:rPr>
          <w:lang w:val="pt-BR"/>
        </w:rPr>
        <w:t>source</w:t>
      </w:r>
      <w:proofErr w:type="spellEnd"/>
      <w:r w:rsidRPr="008750A0">
        <w:rPr>
          <w:lang w:val="pt-BR"/>
        </w:rPr>
        <w:t xml:space="preserve"> que implementa todos os requisitos do padrão CTS2 - Common </w:t>
      </w:r>
      <w:proofErr w:type="spellStart"/>
      <w:r w:rsidRPr="008750A0">
        <w:rPr>
          <w:lang w:val="pt-BR"/>
        </w:rPr>
        <w:t>Terminology</w:t>
      </w:r>
      <w:proofErr w:type="spellEnd"/>
      <w:r w:rsidRPr="008750A0">
        <w:rPr>
          <w:lang w:val="pt-BR"/>
        </w:rPr>
        <w:t xml:space="preserve"> Services 2.</w:t>
      </w:r>
    </w:p>
    <w:p w14:paraId="1BE7DA68" w14:textId="77777777" w:rsidR="008750A0" w:rsidRDefault="008750A0">
      <w:pPr>
        <w:spacing w:before="240" w:after="240"/>
        <w:jc w:val="both"/>
        <w:rPr>
          <w:lang w:val="pt-BR"/>
        </w:rPr>
      </w:pPr>
    </w:p>
    <w:p w14:paraId="57C0A0A6" w14:textId="77777777" w:rsidR="008750A0" w:rsidRDefault="008750A0" w:rsidP="008750A0">
      <w:pPr>
        <w:rPr>
          <w:lang w:val="pt-BR"/>
        </w:rPr>
      </w:pPr>
    </w:p>
    <w:p w14:paraId="670C23A7" w14:textId="77777777" w:rsidR="008750A0" w:rsidRPr="008750A0" w:rsidRDefault="008750A0">
      <w:pPr>
        <w:spacing w:before="240" w:after="240"/>
        <w:jc w:val="both"/>
        <w:rPr>
          <w:lang w:val="en-BR"/>
        </w:rPr>
      </w:pPr>
    </w:p>
    <w:p w14:paraId="3350AF24" w14:textId="77777777" w:rsidR="00A303C1" w:rsidRPr="008750A0" w:rsidRDefault="00000000">
      <w:pPr>
        <w:spacing w:before="240" w:after="240"/>
        <w:jc w:val="both"/>
        <w:rPr>
          <w:b/>
          <w:lang w:val="pt-BR"/>
        </w:rPr>
      </w:pPr>
      <w:r w:rsidRPr="008750A0">
        <w:rPr>
          <w:b/>
          <w:lang w:val="pt-BR"/>
        </w:rPr>
        <w:t>Discussão</w:t>
      </w:r>
    </w:p>
    <w:p w14:paraId="395BB90B" w14:textId="77777777" w:rsidR="00A303C1" w:rsidRPr="008750A0" w:rsidRDefault="00000000">
      <w:pPr>
        <w:spacing w:line="360" w:lineRule="auto"/>
        <w:ind w:firstLine="700"/>
        <w:jc w:val="both"/>
        <w:rPr>
          <w:rFonts w:ascii="Calibri" w:eastAsia="Calibri" w:hAnsi="Calibri" w:cs="Calibri"/>
          <w:lang w:val="pt-BR"/>
        </w:rPr>
      </w:pPr>
      <w:r w:rsidRPr="008750A0">
        <w:rPr>
          <w:rFonts w:ascii="Calibri" w:eastAsia="Calibri" w:hAnsi="Calibri" w:cs="Calibri"/>
          <w:lang w:val="pt-BR"/>
        </w:rPr>
        <w:t xml:space="preserve">Este projeto traz uma contribuição estruturante para o SUS, mais especificamente para a nova secretaria de Saúde Digital, criada em janeiro de 2023, ao viabilizar a infraestrutura de serviços de terminologias em saúde. Esta infraestrutura consiste num serviço de terminologia que será entregue ao </w:t>
      </w:r>
      <w:r w:rsidRPr="008750A0">
        <w:rPr>
          <w:rFonts w:ascii="Calibri" w:eastAsia="Calibri" w:hAnsi="Calibri" w:cs="Calibri"/>
          <w:lang w:val="pt-BR"/>
        </w:rPr>
        <w:lastRenderedPageBreak/>
        <w:t xml:space="preserve">MS incorporando todos os domínios dos blocos de Imunização, Exames, Alergias/Reações Adversas e Medicamentos.  O serviço de terminologia que será entregue atende ao padrão funcional (Common </w:t>
      </w:r>
      <w:proofErr w:type="spellStart"/>
      <w:r w:rsidRPr="008750A0">
        <w:rPr>
          <w:rFonts w:ascii="Calibri" w:eastAsia="Calibri" w:hAnsi="Calibri" w:cs="Calibri"/>
          <w:lang w:val="pt-BR"/>
        </w:rPr>
        <w:t>Terminology</w:t>
      </w:r>
      <w:proofErr w:type="spellEnd"/>
      <w:r w:rsidRPr="008750A0">
        <w:rPr>
          <w:rFonts w:ascii="Calibri" w:eastAsia="Calibri" w:hAnsi="Calibri" w:cs="Calibri"/>
          <w:lang w:val="pt-BR"/>
        </w:rPr>
        <w:t xml:space="preserve"> Services 2™ (CTS2™)</w:t>
      </w:r>
      <w:r w:rsidRPr="008750A0">
        <w:rPr>
          <w:rFonts w:ascii="Calibri" w:eastAsia="Calibri" w:hAnsi="Calibri" w:cs="Calibri"/>
          <w:vertAlign w:val="superscript"/>
          <w:lang w:val="pt-BR"/>
        </w:rPr>
        <w:t>16</w:t>
      </w:r>
      <w:r w:rsidRPr="008750A0">
        <w:rPr>
          <w:rFonts w:ascii="Calibri" w:eastAsia="Calibri" w:hAnsi="Calibri" w:cs="Calibri"/>
          <w:lang w:val="pt-BR"/>
        </w:rPr>
        <w:t xml:space="preserve">   e oferece um conjunto de funcionalidades básicas para dar suporte ao gerenciamento, manutenção e interação com ontologias e dicionários de termos em saúde. Esta infraestrutura permitirá que o MS gerencie numa única infraestrutura e distribua de forma automática, via APIs, todas as terminologias utilizadas pelo Ministério da Saúde, com suas respectivas versões e mapeamentos entre si.  O serviço de terminologia é um dos módulos estruturantes de uma arquitetura em saúde digital, conforme preconiza a OMS no documento Digital Health </w:t>
      </w:r>
      <w:proofErr w:type="spellStart"/>
      <w:r w:rsidRPr="008750A0">
        <w:rPr>
          <w:rFonts w:ascii="Calibri" w:eastAsia="Calibri" w:hAnsi="Calibri" w:cs="Calibri"/>
          <w:lang w:val="pt-BR"/>
        </w:rPr>
        <w:t>Platform:Building</w:t>
      </w:r>
      <w:proofErr w:type="spellEnd"/>
      <w:r w:rsidRPr="008750A0">
        <w:rPr>
          <w:rFonts w:ascii="Calibri" w:eastAsia="Calibri" w:hAnsi="Calibri" w:cs="Calibri"/>
          <w:lang w:val="pt-BR"/>
        </w:rPr>
        <w:t xml:space="preserve"> a Digital </w:t>
      </w:r>
      <w:proofErr w:type="spellStart"/>
      <w:r w:rsidRPr="008750A0">
        <w:rPr>
          <w:rFonts w:ascii="Calibri" w:eastAsia="Calibri" w:hAnsi="Calibri" w:cs="Calibri"/>
          <w:lang w:val="pt-BR"/>
        </w:rPr>
        <w:t>Information</w:t>
      </w:r>
      <w:proofErr w:type="spellEnd"/>
      <w:r w:rsidRPr="008750A0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8750A0">
        <w:rPr>
          <w:rFonts w:ascii="Calibri" w:eastAsia="Calibri" w:hAnsi="Calibri" w:cs="Calibri"/>
          <w:lang w:val="pt-BR"/>
        </w:rPr>
        <w:t>Infrastructure</w:t>
      </w:r>
      <w:proofErr w:type="spellEnd"/>
      <w:r w:rsidRPr="008750A0">
        <w:rPr>
          <w:rFonts w:ascii="Calibri" w:eastAsia="Calibri" w:hAnsi="Calibri" w:cs="Calibri"/>
          <w:lang w:val="pt-BR"/>
        </w:rPr>
        <w:t xml:space="preserve"> (</w:t>
      </w:r>
      <w:proofErr w:type="spellStart"/>
      <w:r w:rsidRPr="008750A0">
        <w:rPr>
          <w:rFonts w:ascii="Calibri" w:eastAsia="Calibri" w:hAnsi="Calibri" w:cs="Calibri"/>
          <w:lang w:val="pt-BR"/>
        </w:rPr>
        <w:t>Infostructure</w:t>
      </w:r>
      <w:proofErr w:type="spellEnd"/>
      <w:r w:rsidRPr="008750A0">
        <w:rPr>
          <w:rFonts w:ascii="Calibri" w:eastAsia="Calibri" w:hAnsi="Calibri" w:cs="Calibri"/>
          <w:lang w:val="pt-BR"/>
        </w:rPr>
        <w:t xml:space="preserve">) for Health </w:t>
      </w:r>
      <w:r w:rsidRPr="008750A0">
        <w:rPr>
          <w:rFonts w:ascii="Calibri" w:eastAsia="Calibri" w:hAnsi="Calibri" w:cs="Calibri"/>
          <w:vertAlign w:val="superscript"/>
          <w:lang w:val="pt-BR"/>
        </w:rPr>
        <w:t>17</w:t>
      </w:r>
      <w:r w:rsidRPr="008750A0">
        <w:rPr>
          <w:rFonts w:ascii="Calibri" w:eastAsia="Calibri" w:hAnsi="Calibri" w:cs="Calibri"/>
          <w:lang w:val="pt-BR"/>
        </w:rPr>
        <w:t xml:space="preserve">.  </w:t>
      </w:r>
    </w:p>
    <w:p w14:paraId="0ED6A0FC" w14:textId="77777777" w:rsidR="00A303C1" w:rsidRPr="008750A0" w:rsidRDefault="00A303C1">
      <w:pPr>
        <w:spacing w:before="240" w:after="240"/>
        <w:ind w:left="720"/>
        <w:jc w:val="both"/>
        <w:rPr>
          <w:lang w:val="pt-BR"/>
        </w:rPr>
      </w:pPr>
    </w:p>
    <w:p w14:paraId="5AEA89AF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 </w:t>
      </w:r>
    </w:p>
    <w:p w14:paraId="72B0E9DE" w14:textId="77777777" w:rsidR="00A303C1" w:rsidRPr="008750A0" w:rsidRDefault="00A303C1">
      <w:pPr>
        <w:spacing w:before="240" w:after="240"/>
        <w:jc w:val="both"/>
        <w:rPr>
          <w:lang w:val="pt-BR"/>
        </w:rPr>
      </w:pPr>
    </w:p>
    <w:p w14:paraId="0808EE0D" w14:textId="77777777" w:rsidR="00A303C1" w:rsidRPr="008750A0" w:rsidRDefault="00A303C1">
      <w:pPr>
        <w:spacing w:before="240" w:after="240"/>
        <w:jc w:val="both"/>
        <w:rPr>
          <w:lang w:val="pt-BR"/>
        </w:rPr>
      </w:pPr>
    </w:p>
    <w:p w14:paraId="59A11AB3" w14:textId="77777777" w:rsidR="00A303C1" w:rsidRPr="008750A0" w:rsidRDefault="00A303C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</w:p>
    <w:p w14:paraId="148A24CA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IPS Brasil está totalmente alinhado à três das sete prioridades da Estratégia de Saúde Digital 2020/28:  prioridade 3 – apoio à Continuidade da Atenção em todos os níveis; prioridade 4 – usuário como protagonista; prioridade 6 – ambiente de interconectividade. </w:t>
      </w:r>
    </w:p>
    <w:p w14:paraId="12B2121B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>Todas as informações do IPS são representadas por conjuntos de vocabulários internacionais o que exige que se faça mapeamentos das terminologias nacionais para as internacionais em cada uma das secções.  Até o momento, cerca de 80% das terminologias dos blocos de Imunização, Exames, Alergias e Medicamentos estão representadas em serviço de terminologia e mapeadas para os vocabulários internacionais. 20% dos perfis que compõem os blocos de Cabeçalho, Exames, Imunização e Alergias também foram criados. Estes perfis são parte do Guia de Implementação que, além dos perfis, contém todos os recursos terminológicos e seus mapeamentos.</w:t>
      </w:r>
    </w:p>
    <w:p w14:paraId="546D5C8A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alibri" w:eastAsia="Calibri" w:hAnsi="Calibri" w:cs="Calibri"/>
          <w:sz w:val="20"/>
          <w:szCs w:val="20"/>
          <w:lang w:val="pt-BR"/>
        </w:rPr>
      </w:pPr>
      <w:r w:rsidRPr="008750A0">
        <w:rPr>
          <w:lang w:val="pt-BR"/>
        </w:rPr>
        <w:t xml:space="preserve">Tendo em vista que o bloco Medicamentos é parte do IPS e que há necessidade de um vocabulário controlado para medicamentos houve uma extensão nos objetivos do projeto de também completar a base de dados da Ontologia Brasileira de Medicamentos (Projeto </w:t>
      </w:r>
      <w:proofErr w:type="spellStart"/>
      <w:r w:rsidRPr="008750A0">
        <w:rPr>
          <w:lang w:val="pt-BR"/>
        </w:rPr>
        <w:t>Proadi</w:t>
      </w:r>
      <w:proofErr w:type="spellEnd"/>
      <w:r w:rsidRPr="008750A0">
        <w:rPr>
          <w:lang w:val="pt-BR"/>
        </w:rPr>
        <w:t xml:space="preserve"> 2017 do HSL), com todos os medicamentos oferecidos pela Atenção Primária. Este trabalho está em andamento. Até o momento, cerca de 70% dos medicamentos da lista da Atenção Primária foram revisados e estão sendo incluídos no portal da OBM.</w:t>
      </w:r>
      <w:r w:rsidRPr="008750A0">
        <w:rPr>
          <w:rFonts w:ascii="Calibri" w:eastAsia="Calibri" w:hAnsi="Calibri" w:cs="Calibri"/>
          <w:sz w:val="20"/>
          <w:szCs w:val="20"/>
          <w:lang w:val="pt-BR"/>
        </w:rPr>
        <w:t xml:space="preserve"> </w:t>
      </w:r>
    </w:p>
    <w:p w14:paraId="028405F5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relação ao bloco de Alergias e Intolerâncias, foi feito o mapeamento dos termos clínicos do IPS para a Classificação Brasileira de Alergias e Reações Adversas - CBARA que contém </w:t>
      </w:r>
      <w:r w:rsidRPr="008750A0">
        <w:rPr>
          <w:lang w:val="pt-BR"/>
        </w:rPr>
        <w:lastRenderedPageBreak/>
        <w:t xml:space="preserve">alérgenos, substâncias e reações adversas conforme a classificação portuguesa [5]. Todos os mapeamentos foram inseridos em um serviço de terminologia de código aberto e integrados ao serviço de terminologia FHIR. Esses mapeamentos são usados para especificar a seção de Alergias do IPS-Brasil. Antecedentes de Alergias e Reações Adversas precisam ser registrados de forma completa, pois são essenciais para fornecer cuidados adequados de acordo com o contexto clínico. É por isso que a seção sobre Alergias e Reações Adversas é uma das seções obrigatórias do IPS. </w:t>
      </w:r>
    </w:p>
    <w:p w14:paraId="1DE54A18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base no conjunto de termos definidos para substâncias e alérgenos da CBARA, os </w:t>
      </w:r>
      <w:proofErr w:type="spellStart"/>
      <w:r w:rsidRPr="008750A0">
        <w:rPr>
          <w:lang w:val="pt-BR"/>
        </w:rPr>
        <w:t>terminologistas</w:t>
      </w:r>
      <w:proofErr w:type="spellEnd"/>
      <w:r w:rsidRPr="008750A0">
        <w:rPr>
          <w:lang w:val="pt-BR"/>
        </w:rPr>
        <w:t xml:space="preserve"> verificaram os termos correspondentes no IPS. A lista completa de termos CBARA e IPS foi adicionada ao servidor de terminologia de código aberto Open </w:t>
      </w:r>
      <w:proofErr w:type="spellStart"/>
      <w:r w:rsidRPr="008750A0">
        <w:rPr>
          <w:lang w:val="pt-BR"/>
        </w:rPr>
        <w:t>Concept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Lab</w:t>
      </w:r>
      <w:proofErr w:type="spellEnd"/>
      <w:r w:rsidRPr="008750A0">
        <w:rPr>
          <w:lang w:val="pt-BR"/>
        </w:rPr>
        <w:t xml:space="preserve"> (OCL). As tabelas de mapeamento descritas como mapas conceituais também foram adicionadas ao servidor de terminologia OCL. Mais de 200 termos relacionados a reações alérgicas foram mapeados no servidor de terminologias. Os perfis em FHIR também foram construídos viabilizando, assim, a utilização dos recursos terminológicos pelas futuras aplicações.</w:t>
      </w:r>
    </w:p>
    <w:p w14:paraId="00583625" w14:textId="77777777" w:rsidR="00A303C1" w:rsidRDefault="00000000">
      <w:pPr>
        <w:spacing w:before="240" w:after="240"/>
        <w:jc w:val="both"/>
      </w:pPr>
      <w:commentRangeStart w:id="8"/>
      <w:r w:rsidRPr="008750A0">
        <w:rPr>
          <w:lang w:val="pt-BR"/>
        </w:rPr>
        <w:t>Vale ressaltar que, algu</w:t>
      </w:r>
      <w:commentRangeEnd w:id="8"/>
      <w:r>
        <w:commentReference w:id="8"/>
      </w:r>
      <w:r w:rsidRPr="008750A0">
        <w:rPr>
          <w:lang w:val="pt-BR"/>
        </w:rPr>
        <w:t xml:space="preserve">ns dos resultados obtidos no projeto neste período foram aprovados pela comunidade científica e serão apresentados em um dos maiores eventos de exposição da SNOMED CT, em outubro de 2023. </w:t>
      </w:r>
      <w:r>
        <w:t xml:space="preserve">As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citadas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sequência</w:t>
      </w:r>
      <w:proofErr w:type="spellEnd"/>
      <w:r>
        <w:t>:</w:t>
      </w:r>
    </w:p>
    <w:p w14:paraId="5321CF21" w14:textId="77777777" w:rsidR="00A303C1" w:rsidRDefault="00000000">
      <w:pPr>
        <w:numPr>
          <w:ilvl w:val="0"/>
          <w:numId w:val="1"/>
        </w:numPr>
        <w:spacing w:before="240"/>
        <w:jc w:val="both"/>
      </w:pPr>
      <w:r>
        <w:t>Mapping of the Brazilian Classification of Allergies and Adverse reactions (CBARA) to SNOMED-IPS.</w:t>
      </w:r>
    </w:p>
    <w:p w14:paraId="53140CD7" w14:textId="77777777" w:rsidR="00A303C1" w:rsidRDefault="00000000">
      <w:pPr>
        <w:numPr>
          <w:ilvl w:val="0"/>
          <w:numId w:val="1"/>
        </w:numPr>
        <w:spacing w:after="240"/>
        <w:jc w:val="both"/>
      </w:pPr>
      <w:r>
        <w:t>Clinical Recommendation of Allergies and Adverse Reactions from SNOMED-CT sub-ontologies and natural language processing.</w:t>
      </w:r>
    </w:p>
    <w:p w14:paraId="433D72E4" w14:textId="77777777" w:rsidR="00A303C1" w:rsidRDefault="00A303C1">
      <w:pPr>
        <w:spacing w:before="240" w:after="240"/>
        <w:jc w:val="both"/>
      </w:pPr>
    </w:p>
    <w:p w14:paraId="276D660D" w14:textId="77777777" w:rsidR="00A303C1" w:rsidRDefault="00A303C1">
      <w:pPr>
        <w:spacing w:before="240" w:after="240"/>
        <w:jc w:val="both"/>
      </w:pPr>
    </w:p>
    <w:p w14:paraId="2AF0D6AB" w14:textId="77777777" w:rsidR="00A303C1" w:rsidRPr="008750A0" w:rsidRDefault="00000000">
      <w:pPr>
        <w:rPr>
          <w:b/>
          <w:lang w:val="pt-BR"/>
        </w:rPr>
      </w:pPr>
      <w:r w:rsidRPr="008750A0">
        <w:rPr>
          <w:b/>
          <w:lang w:val="pt-BR"/>
        </w:rPr>
        <w:t>Referências</w:t>
      </w:r>
    </w:p>
    <w:p w14:paraId="74681EB5" w14:textId="77777777" w:rsidR="00A303C1" w:rsidRPr="008750A0" w:rsidRDefault="00A303C1">
      <w:pPr>
        <w:rPr>
          <w:lang w:val="pt-BR"/>
        </w:rPr>
      </w:pPr>
    </w:p>
    <w:p w14:paraId="596EF59F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8750A0">
        <w:rPr>
          <w:lang w:val="pt-BR"/>
        </w:rPr>
        <w:t xml:space="preserve">[1] D’Amore </w:t>
      </w:r>
      <w:proofErr w:type="gramStart"/>
      <w:r w:rsidRPr="008750A0">
        <w:rPr>
          <w:lang w:val="pt-BR"/>
        </w:rPr>
        <w:t>J ,</w:t>
      </w:r>
      <w:proofErr w:type="gram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Cangioli</w:t>
      </w:r>
      <w:proofErr w:type="spellEnd"/>
      <w:r w:rsidRPr="008750A0">
        <w:rPr>
          <w:lang w:val="pt-BR"/>
        </w:rPr>
        <w:t xml:space="preserve"> G,  </w:t>
      </w:r>
      <w:proofErr w:type="spellStart"/>
      <w:r w:rsidRPr="008750A0">
        <w:rPr>
          <w:lang w:val="pt-BR"/>
        </w:rPr>
        <w:t>Hausam</w:t>
      </w:r>
      <w:proofErr w:type="spellEnd"/>
      <w:r w:rsidRPr="008750A0">
        <w:rPr>
          <w:lang w:val="pt-BR"/>
        </w:rPr>
        <w:t xml:space="preserve"> Rob. </w:t>
      </w:r>
      <w:r>
        <w:t xml:space="preserve">Advancing the International Patient </w:t>
      </w:r>
      <w:proofErr w:type="spellStart"/>
      <w:r>
        <w:t>Summary.The</w:t>
      </w:r>
      <w:proofErr w:type="spellEnd"/>
      <w:r>
        <w:t xml:space="preserve"> Standard - The Official Blog of Health Level Seven® </w:t>
      </w:r>
      <w:proofErr w:type="spellStart"/>
      <w:r>
        <w:t>International.Dec</w:t>
      </w:r>
      <w:proofErr w:type="spellEnd"/>
      <w:r>
        <w:t xml:space="preserve"> 1, 2021. </w:t>
      </w:r>
      <w:proofErr w:type="spellStart"/>
      <w:r w:rsidRPr="008750A0">
        <w:rPr>
          <w:lang w:val="pt-BR"/>
        </w:rPr>
        <w:t>Accessed</w:t>
      </w:r>
      <w:proofErr w:type="spellEnd"/>
      <w:r w:rsidRPr="008750A0">
        <w:rPr>
          <w:lang w:val="pt-BR"/>
        </w:rPr>
        <w:t xml:space="preserve"> 11 </w:t>
      </w:r>
      <w:proofErr w:type="spellStart"/>
      <w:r w:rsidRPr="008750A0">
        <w:rPr>
          <w:lang w:val="pt-BR"/>
        </w:rPr>
        <w:t>jul</w:t>
      </w:r>
      <w:proofErr w:type="spellEnd"/>
      <w:r w:rsidRPr="008750A0">
        <w:rPr>
          <w:lang w:val="pt-BR"/>
        </w:rPr>
        <w:t xml:space="preserve"> 2023, Disponível em: </w:t>
      </w:r>
      <w:hyperlink r:id="rId9">
        <w:r w:rsidRPr="008750A0">
          <w:rPr>
            <w:color w:val="1155CC"/>
            <w:u w:val="single"/>
            <w:lang w:val="pt-BR"/>
          </w:rPr>
          <w:t>https://blog.hl7.org/advancing-the-international-patient-summary-ips</w:t>
        </w:r>
      </w:hyperlink>
    </w:p>
    <w:p w14:paraId="10D1B5F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[2] ISO. ISO 27269:2021 Health informatics — International Patient Summary. </w:t>
      </w:r>
      <w:r w:rsidRPr="008750A0">
        <w:rPr>
          <w:lang w:val="pt-BR"/>
        </w:rPr>
        <w:t xml:space="preserve">Genebra, </w:t>
      </w:r>
      <w:proofErr w:type="gramStart"/>
      <w:r w:rsidRPr="008750A0">
        <w:rPr>
          <w:lang w:val="pt-BR"/>
        </w:rPr>
        <w:t>Abril</w:t>
      </w:r>
      <w:proofErr w:type="gramEnd"/>
      <w:r w:rsidRPr="008750A0">
        <w:rPr>
          <w:lang w:val="pt-BR"/>
        </w:rPr>
        <w:t xml:space="preserve"> 2021.Acesso em julho 2023. Disponível em: </w:t>
      </w:r>
      <w:hyperlink r:id="rId10">
        <w:r w:rsidRPr="008750A0">
          <w:rPr>
            <w:color w:val="1155CC"/>
            <w:u w:val="single"/>
            <w:lang w:val="pt-BR"/>
          </w:rPr>
          <w:t>https://www.iso.org/standard/79491.html</w:t>
        </w:r>
      </w:hyperlink>
    </w:p>
    <w:p w14:paraId="583DCEF1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[3] _ G7 Health Ministers’ Declaration, Oxford, 4 June 2021. </w:t>
      </w:r>
      <w:r w:rsidRPr="008750A0">
        <w:rPr>
          <w:lang w:val="pt-BR"/>
        </w:rPr>
        <w:t xml:space="preserve">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Disponível em:</w:t>
      </w:r>
      <w:hyperlink r:id="rId11">
        <w:r w:rsidRPr="008750A0">
          <w:rPr>
            <w:color w:val="1155CC"/>
            <w:u w:val="single"/>
            <w:lang w:val="pt-BR"/>
          </w:rPr>
          <w:t>https://assets.publishing.service.gov.uk/government/uploads/system/uploads/attachment_data/file/992268/G7-health_ministers-communique-oxford-4-june-2021_5.pdf</w:t>
        </w:r>
      </w:hyperlink>
      <w:r w:rsidRPr="008750A0">
        <w:rPr>
          <w:lang w:val="pt-BR"/>
        </w:rPr>
        <w:t xml:space="preserve"> </w:t>
      </w:r>
    </w:p>
    <w:p w14:paraId="5638DF1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8750A0">
        <w:rPr>
          <w:lang w:val="pt-BR"/>
        </w:rPr>
        <w:t xml:space="preserve">[4] HL7. Guia de Implementação do Resumo do Paciente Internacional. 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</w:t>
      </w:r>
      <w:hyperlink r:id="rId12">
        <w:r w:rsidRPr="008750A0">
          <w:rPr>
            <w:lang w:val="pt-BR"/>
          </w:rPr>
          <w:t>https://hl7.org/fhir/uv/ips/</w:t>
        </w:r>
      </w:hyperlink>
      <w:r w:rsidRPr="008750A0">
        <w:rPr>
          <w:lang w:val="pt-BR"/>
        </w:rPr>
        <w:t xml:space="preserve"> </w:t>
      </w:r>
    </w:p>
    <w:p w14:paraId="5ED2A87A" w14:textId="77777777" w:rsidR="00A303C1" w:rsidRPr="008750A0" w:rsidRDefault="00000000">
      <w:pPr>
        <w:spacing w:before="240"/>
        <w:jc w:val="both"/>
        <w:rPr>
          <w:sz w:val="20"/>
          <w:szCs w:val="20"/>
          <w:u w:val="single"/>
          <w:lang w:val="pt-BR"/>
        </w:rPr>
      </w:pPr>
      <w:r w:rsidRPr="008750A0">
        <w:rPr>
          <w:sz w:val="20"/>
          <w:szCs w:val="20"/>
          <w:lang w:val="pt-BR"/>
        </w:rPr>
        <w:lastRenderedPageBreak/>
        <w:t xml:space="preserve">[5] </w:t>
      </w:r>
      <w:proofErr w:type="spellStart"/>
      <w:r w:rsidRPr="008750A0">
        <w:rPr>
          <w:lang w:val="pt-BR"/>
        </w:rPr>
        <w:t>Portuguese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Catalog</w:t>
      </w:r>
      <w:proofErr w:type="spellEnd"/>
      <w:r w:rsidRPr="008750A0">
        <w:rPr>
          <w:lang w:val="pt-BR"/>
        </w:rPr>
        <w:t xml:space="preserve"> of </w:t>
      </w:r>
      <w:proofErr w:type="spellStart"/>
      <w:r w:rsidRPr="008750A0">
        <w:rPr>
          <w:lang w:val="pt-BR"/>
        </w:rPr>
        <w:t>Allergies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and</w:t>
      </w:r>
      <w:proofErr w:type="spellEnd"/>
      <w:r w:rsidRPr="008750A0">
        <w:rPr>
          <w:lang w:val="pt-BR"/>
        </w:rPr>
        <w:t xml:space="preserve"> Adverse </w:t>
      </w:r>
      <w:proofErr w:type="spellStart"/>
      <w:r w:rsidRPr="008750A0">
        <w:rPr>
          <w:lang w:val="pt-BR"/>
        </w:rPr>
        <w:t>Reactions</w:t>
      </w:r>
      <w:proofErr w:type="spellEnd"/>
      <w:r w:rsidRPr="008750A0">
        <w:rPr>
          <w:lang w:val="pt-BR"/>
        </w:rPr>
        <w:t xml:space="preserve"> CPARA. Download:</w:t>
      </w:r>
      <w:hyperlink r:id="rId13">
        <w:r w:rsidRPr="008750A0">
          <w:rPr>
            <w:sz w:val="20"/>
            <w:szCs w:val="20"/>
            <w:u w:val="single"/>
            <w:lang w:val="pt-BR"/>
          </w:rPr>
          <w:t xml:space="preserve"> https://www.ctc.min-saude.pt/wp-content/uploads/2017/08/DocEspCPARA_V4.1.pdf</w:t>
        </w:r>
      </w:hyperlink>
    </w:p>
    <w:p w14:paraId="52964296" w14:textId="77777777" w:rsidR="00A303C1" w:rsidRPr="008750A0" w:rsidRDefault="00A303C1">
      <w:pPr>
        <w:jc w:val="both"/>
        <w:rPr>
          <w:lang w:val="pt-BR"/>
        </w:rPr>
      </w:pPr>
    </w:p>
    <w:p w14:paraId="69854E67" w14:textId="77777777" w:rsidR="00A303C1" w:rsidRPr="008750A0" w:rsidRDefault="00A303C1">
      <w:pPr>
        <w:jc w:val="both"/>
        <w:rPr>
          <w:lang w:val="pt-BR"/>
        </w:rPr>
      </w:pPr>
    </w:p>
    <w:p w14:paraId="3A1DC46C" w14:textId="77777777" w:rsidR="00A303C1" w:rsidRPr="008750A0" w:rsidRDefault="00A303C1">
      <w:pPr>
        <w:jc w:val="both"/>
        <w:rPr>
          <w:lang w:val="pt-BR"/>
        </w:rPr>
      </w:pPr>
    </w:p>
    <w:p w14:paraId="23053881" w14:textId="77777777" w:rsidR="00A303C1" w:rsidRDefault="00000000">
      <w:pPr>
        <w:jc w:val="both"/>
      </w:pPr>
      <w:r>
        <w:t xml:space="preserve">SNOMED International. (2022). SNOMED CT Terminology Services Guide. SNOMED CT Document Library. </w:t>
      </w:r>
      <w:hyperlink r:id="rId14">
        <w:r>
          <w:rPr>
            <w:color w:val="1155CC"/>
            <w:u w:val="single"/>
          </w:rPr>
          <w:t>http://snomed.org/tsg</w:t>
        </w:r>
      </w:hyperlink>
    </w:p>
    <w:p w14:paraId="1A557B77" w14:textId="77777777" w:rsidR="00A303C1" w:rsidRDefault="00A303C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</w:p>
    <w:sectPr w:rsidR="00A3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Joice Machado" w:date="2023-07-11T20:26:00Z" w:initials="">
    <w:p w14:paraId="32BA7EB4" w14:textId="77777777" w:rsidR="00A303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@beatriz.leao@hsl.org.br  Bia, vc acha interessante colocar esta informação? Se sim, por favor, coloque o título do resumo que vc enviou.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BA7E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A7EB4" w16cid:durableId="28581B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D4"/>
    <w:multiLevelType w:val="multilevel"/>
    <w:tmpl w:val="B14A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E43E9"/>
    <w:multiLevelType w:val="hybridMultilevel"/>
    <w:tmpl w:val="EC3446BC"/>
    <w:lvl w:ilvl="0" w:tplc="27E85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3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A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2C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22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E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1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8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4356">
    <w:abstractNumId w:val="0"/>
  </w:num>
  <w:num w:numId="2" w16cid:durableId="20587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8750A0"/>
    <w:rsid w:val="00A3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AD8A9"/>
  <w15:docId w15:val="{C043F6F8-C18A-8042-AF8C-906DE56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434343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75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table" w:styleId="TableGrid">
    <w:name w:val="Table Grid"/>
    <w:basedOn w:val="TableNormal"/>
    <w:uiPriority w:val="39"/>
    <w:rsid w:val="008750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hl7.org/fhir/uv/i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assets.publishing.service.gov.uk/government/uploads/system/uploads/attachment_data/file/992268/G7-health_ministers-communique-oxford-4-june-2021_5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so.org/standard/794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hl7.org/advancing-the-international-patient-summary-ips" TargetMode="External"/><Relationship Id="rId14" Type="http://schemas.openxmlformats.org/officeDocument/2006/relationships/hyperlink" Target="http://snomed.org/t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1779</Words>
  <Characters>10625</Characters>
  <Application>Microsoft Office Word</Application>
  <DocSecurity>0</DocSecurity>
  <Lines>221</Lines>
  <Paragraphs>84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de Faria Leao</cp:lastModifiedBy>
  <cp:revision>2</cp:revision>
  <dcterms:created xsi:type="dcterms:W3CDTF">2023-07-12T00:48:00Z</dcterms:created>
  <dcterms:modified xsi:type="dcterms:W3CDTF">2023-07-12T00:48:00Z</dcterms:modified>
</cp:coreProperties>
</file>