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480"/>
        <w:jc w:val="center"/>
      </w:pPr>
      <w:r>
        <w:rPr>
          <w:rFonts w:ascii="Times New Roman" w:cs="Times New Roman" w:eastAsia="Times New Roman" w:hAnsi="Times New Roman"/>
          <w:b/>
          <w:bCs/>
          <w:sz w:val="28"/>
          <w:szCs w:val="28"/>
        </w:rPr>
        <w:t xml:space="preserve">UNIVERSIDADE FEDERAL DE SERGIPE</w:t>
      </w:r>
    </w:p>
    <w:p>
      <w:pPr>
        <w:spacing w:after="80" w:before="0"/>
        <w:jc w:val="center"/>
      </w:pPr>
      <w:r>
        <w:rPr>
          <w:rFonts w:ascii="Times New Roman" w:cs="Times New Roman" w:eastAsia="Times New Roman" w:hAnsi="Times New Roman"/>
          <w:sz w:val="22"/>
          <w:szCs w:val="22"/>
        </w:rPr>
        <w:t xml:space="preserve">Graduate Program in Computer Science (PROCC)</w:t>
      </w:r>
    </w:p>
    <w:p>
      <w:pPr>
        <w:spacing w:after="320" w:before="0"/>
        <w:jc w:val="center"/>
      </w:pPr>
      <w:r>
        <w:rPr>
          <w:rFonts w:ascii="Times New Roman" w:cs="Times New Roman" w:eastAsia="Times New Roman" w:hAnsi="Times New Roman"/>
          <w:i/>
          <w:iCs/>
          <w:sz w:val="22"/>
          <w:szCs w:val="22"/>
        </w:rPr>
        <w:t xml:space="preserve">Advanced Topics in Software Engineering and Information Systems</w:t>
      </w:r>
    </w:p>
    <w:p>
      <w:pPr>
        <w:pBdr>
          <w:top w:val="single" w:color="000000" w:sz="4" w:space="8"/>
          <w:bottom w:val="single" w:color="000000" w:sz="4" w:space="8"/>
        </w:pBdr>
        <w:spacing w:after="320" w:before="320"/>
        <w:jc w:val="center"/>
      </w:pPr>
      <w:r>
        <w:rPr>
          <w:rFonts w:ascii="Times New Roman" w:cs="Times New Roman" w:eastAsia="Times New Roman" w:hAnsi="Times New Roman"/>
          <w:b/>
          <w:bCs/>
          <w:sz w:val="32"/>
          <w:szCs w:val="32"/>
        </w:rPr>
        <w:t xml:space="preserve">Activity 1 — Dataset Curation and Basic LLM Inference
Medical Domain — Team 5</w:t>
      </w:r>
    </w:p>
    <w:p>
      <w:pPr>
        <w:spacing w:after="60" w:before="60"/>
      </w:pPr>
      <w:r>
        <w:t xml:space="preserve"/>
      </w:r>
    </w:p>
    <w:p>
      <w:pPr>
        <w:spacing w:after="80" w:before="320"/>
        <w:jc w:val="center"/>
      </w:pPr>
      <w:r>
        <w:rPr>
          <w:rFonts w:ascii="Times New Roman" w:cs="Times New Roman" w:eastAsia="Times New Roman" w:hAnsi="Times New Roman"/>
          <w:b/>
          <w:bCs/>
          <w:sz w:val="24"/>
          <w:szCs w:val="24"/>
        </w:rPr>
        <w:t xml:space="preserve">Student:</w:t>
      </w:r>
    </w:p>
    <w:p>
      <w:pPr>
        <w:spacing w:after="60" w:before="0"/>
        <w:jc w:val="center"/>
      </w:pPr>
      <w:r>
        <w:rPr>
          <w:rFonts w:ascii="Times New Roman" w:cs="Times New Roman" w:eastAsia="Times New Roman" w:hAnsi="Times New Roman"/>
          <w:b/>
          <w:bCs/>
          <w:sz w:val="24"/>
          <w:szCs w:val="24"/>
        </w:rPr>
        <w:t xml:space="preserve">Moaath Almohammad Alshaikh</w:t>
      </w:r>
    </w:p>
    <w:p>
      <w:pPr>
        <w:spacing w:after="240" w:before="0"/>
        <w:jc w:val="center"/>
      </w:pPr>
      <w:r>
        <w:rPr>
          <w:rFonts w:ascii="Times New Roman" w:cs="Times New Roman" w:eastAsia="Times New Roman" w:hAnsi="Times New Roman"/>
          <w:sz w:val="22"/>
          <w:szCs w:val="22"/>
        </w:rPr>
        <w:t xml:space="preserve">Student ID: 2024108522</w:t>
      </w:r>
    </w:p>
    <w:p>
      <w:pPr>
        <w:spacing w:after="60" w:before="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AAAAAA" w:sz="1"/>
              <w:left w:val="single" w:color="AAAAAA" w:sz="1"/>
              <w:bottom w:val="single" w:color="AAAAAA" w:sz="1"/>
              <w:right w:val="single" w:color="AAAAAA"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Professor</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Glauco Carneiro</w:t>
            </w:r>
          </w:p>
        </w:tc>
      </w:tr>
      <w:tr>
        <w:tc>
          <w:tcPr>
            <w:tcW w:type="dxa" w:w="2500"/>
            <w:tcBorders>
              <w:top w:val="single" w:color="AAAAAA" w:sz="1"/>
              <w:left w:val="single" w:color="AAAAAA" w:sz="1"/>
              <w:bottom w:val="single" w:color="AAAAAA" w:sz="1"/>
              <w:right w:val="single" w:color="AAAAAA"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Course</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Advanced Topics in SE and IS</w:t>
            </w:r>
          </w:p>
        </w:tc>
      </w:tr>
      <w:tr>
        <w:tc>
          <w:tcPr>
            <w:tcW w:type="dxa" w:w="2500"/>
            <w:tcBorders>
              <w:top w:val="single" w:color="AAAAAA" w:sz="1"/>
              <w:left w:val="single" w:color="AAAAAA" w:sz="1"/>
              <w:bottom w:val="single" w:color="AAAAAA" w:sz="1"/>
              <w:right w:val="single" w:color="AAAAAA"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Semester</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2026.1</w:t>
            </w:r>
          </w:p>
        </w:tc>
      </w:tr>
      <w:tr>
        <w:tc>
          <w:tcPr>
            <w:tcW w:type="dxa" w:w="2500"/>
            <w:tcBorders>
              <w:top w:val="single" w:color="AAAAAA" w:sz="1"/>
              <w:left w:val="single" w:color="AAAAAA" w:sz="1"/>
              <w:bottom w:val="single" w:color="AAAAAA" w:sz="1"/>
              <w:right w:val="single" w:color="AAAAAA"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Team</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Team 5 — Medical Domain</w:t>
            </w:r>
          </w:p>
        </w:tc>
      </w:tr>
      <w:tr>
        <w:tc>
          <w:tcPr>
            <w:tcW w:type="dxa" w:w="2500"/>
            <w:tcBorders>
              <w:top w:val="single" w:color="AAAAAA" w:sz="1"/>
              <w:left w:val="single" w:color="AAAAAA" w:sz="1"/>
              <w:bottom w:val="single" w:color="AAAAAA" w:sz="1"/>
              <w:right w:val="single" w:color="AAAAAA"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Submission Date</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April 9, 2026</w:t>
            </w:r>
          </w:p>
        </w:tc>
      </w:tr>
    </w:tbl>
    <w:p>
      <w:pPr>
        <w:spacing w:after="60" w:before="60"/>
      </w:pPr>
      <w:r>
        <w:t xml:space="preserve"/>
      </w:r>
    </w:p>
    <w:p>
      <w:r>
        <w:br w:type="page"/>
      </w:r>
    </w:p>
    <w:p>
      <w:pPr>
        <w:pStyle w:val="Heading1"/>
        <w:pBdr>
          <w:bottom w:val="single" w:color="000000" w:sz="4" w:space="4"/>
        </w:pBdr>
        <w:spacing w:after="160" w:before="320"/>
      </w:pPr>
      <w:r>
        <w:rPr>
          <w:rFonts w:ascii="Times New Roman" w:cs="Times New Roman" w:eastAsia="Times New Roman" w:hAnsi="Times New Roman"/>
          <w:b/>
          <w:bCs/>
          <w:color w:val="000000"/>
          <w:sz w:val="28"/>
          <w:szCs w:val="28"/>
        </w:rPr>
        <w:t xml:space="preserve">1. Introduction</w:t>
      </w:r>
    </w:p>
    <w:p>
      <w:pPr>
        <w:spacing w:after="80" w:before="80"/>
        <w:jc w:val="both"/>
      </w:pPr>
      <w:r>
        <w:rPr>
          <w:rFonts w:ascii="Times New Roman" w:cs="Times New Roman" w:eastAsia="Times New Roman" w:hAnsi="Times New Roman"/>
          <w:b w:val="false"/>
          <w:bCs w:val="false"/>
          <w:color w:val="000000"/>
          <w:sz w:val="20"/>
          <w:szCs w:val="20"/>
        </w:rPr>
        <w:t xml:space="preserve">This report describes my individual work for Activity 1 of the course Advanced Topics in Software Engineering and Information Systems, taught by Prof. Glauco Carneiro in semester 2026.1 at PROCC/UFS.</w:t>
      </w:r>
    </w:p>
    <w:p>
      <w:pPr>
        <w:spacing w:after="60" w:before="60"/>
      </w:pPr>
      <w:r>
        <w:t xml:space="preserve"/>
      </w:r>
    </w:p>
    <w:p>
      <w:pPr>
        <w:spacing w:after="80" w:before="80"/>
        <w:jc w:val="both"/>
      </w:pPr>
      <w:r>
        <w:rPr>
          <w:rFonts w:ascii="Times New Roman" w:cs="Times New Roman" w:eastAsia="Times New Roman" w:hAnsi="Times New Roman"/>
          <w:b w:val="false"/>
          <w:bCs w:val="false"/>
          <w:color w:val="000000"/>
          <w:sz w:val="20"/>
          <w:szCs w:val="20"/>
        </w:rPr>
        <w:t xml:space="preserve">The goal of the activity was to curate a set of medical questions and test three language models on those questions, then compare their results. I am a member of Team 5, which works with the medical domain. My assigned questions came from two datasets: K-QA (open-ended questions) and USMLE (multiple-choice questions).</w:t>
      </w:r>
    </w:p>
    <w:p>
      <w:pPr>
        <w:spacing w:after="60" w:before="60"/>
      </w:pPr>
      <w:r>
        <w:t xml:space="preserve"/>
      </w:r>
    </w:p>
    <w:p>
      <w:pPr>
        <w:pStyle w:val="Heading1"/>
        <w:pBdr>
          <w:bottom w:val="single" w:color="000000" w:sz="4" w:space="4"/>
        </w:pBdr>
        <w:spacing w:after="160" w:before="320"/>
      </w:pPr>
      <w:r>
        <w:rPr>
          <w:rFonts w:ascii="Times New Roman" w:cs="Times New Roman" w:eastAsia="Times New Roman" w:hAnsi="Times New Roman"/>
          <w:b/>
          <w:bCs/>
          <w:color w:val="000000"/>
          <w:sz w:val="28"/>
          <w:szCs w:val="28"/>
        </w:rPr>
        <w:t xml:space="preserve">2. My Assigned Questions</w:t>
      </w:r>
    </w:p>
    <w:p>
      <w:pPr>
        <w:spacing w:after="80" w:before="80"/>
        <w:jc w:val="both"/>
      </w:pPr>
      <w:r>
        <w:rPr>
          <w:rFonts w:ascii="Times New Roman" w:cs="Times New Roman" w:eastAsia="Times New Roman" w:hAnsi="Times New Roman"/>
          <w:b w:val="false"/>
          <w:bCs w:val="false"/>
          <w:color w:val="000000"/>
          <w:sz w:val="20"/>
          <w:szCs w:val="20"/>
        </w:rPr>
        <w:t xml:space="preserve">According to the official question distribution, I was responsible for the following: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226"/>
      </w:tblGrid>
      <w:tr>
        <w:tc>
          <w:tcPr>
            <w:tcW w:type="dxa" w:w="22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Times New Roman" w:cs="Times New Roman" w:eastAsia="Times New Roman" w:hAnsi="Times New Roman"/>
                <w:b/>
                <w:bCs/>
                <w:sz w:val="20"/>
                <w:szCs w:val="20"/>
              </w:rPr>
              <w:t xml:space="preserve">Type</w:t>
            </w:r>
          </w:p>
        </w:tc>
        <w:tc>
          <w:tcPr>
            <w:tcW w:type="dxa" w:w="26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Dataset</w:t>
            </w:r>
          </w:p>
        </w:tc>
        <w:tc>
          <w:tcPr>
            <w:tcW w:type="dxa" w:w="20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Range</w:t>
            </w:r>
          </w:p>
        </w:tc>
        <w:tc>
          <w:tcPr>
            <w:tcW w:type="dxa" w:w="2226"/>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Times New Roman" w:cs="Times New Roman" w:eastAsia="Times New Roman" w:hAnsi="Times New Roman"/>
                <w:b/>
                <w:bCs/>
                <w:sz w:val="20"/>
                <w:szCs w:val="20"/>
              </w:rPr>
              <w:t xml:space="preserve">Total</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Open-ended (M1)</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K-QA</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101 to 117</w:t>
            </w:r>
          </w:p>
        </w:tc>
        <w:tc>
          <w:tcPr>
            <w:tcW w:type="dxa" w:w="2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17 questions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Multiple Choice (M2)</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USMLE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163 to 189</w:t>
            </w:r>
          </w:p>
        </w:tc>
        <w:tc>
          <w:tcPr>
            <w:tcW w:type="dxa" w:w="2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27 questions</w:t>
            </w:r>
          </w:p>
        </w:tc>
      </w:tr>
    </w:tbl>
    <w:p>
      <w:pPr>
        <w:spacing w:after="60" w:before="60"/>
      </w:pPr>
      <w:r>
        <w:t xml:space="preserve"/>
      </w:r>
    </w:p>
    <w:p>
      <w:pPr>
        <w:pStyle w:val="Heading1"/>
        <w:pBdr>
          <w:bottom w:val="single" w:color="000000" w:sz="4" w:space="4"/>
        </w:pBdr>
        <w:spacing w:after="160" w:before="320"/>
      </w:pPr>
      <w:r>
        <w:rPr>
          <w:rFonts w:ascii="Times New Roman" w:cs="Times New Roman" w:eastAsia="Times New Roman" w:hAnsi="Times New Roman"/>
          <w:b/>
          <w:bCs/>
          <w:color w:val="000000"/>
          <w:sz w:val="28"/>
          <w:szCs w:val="28"/>
        </w:rPr>
        <w:t xml:space="preserve">3. The Datasets</w:t>
      </w:r>
    </w:p>
    <w:p>
      <w:pPr>
        <w:pStyle w:val="Heading2"/>
        <w:spacing w:after="120" w:before="240"/>
      </w:pPr>
      <w:r>
        <w:rPr>
          <w:rFonts w:ascii="Times New Roman" w:cs="Times New Roman" w:eastAsia="Times New Roman" w:hAnsi="Times New Roman"/>
          <w:b/>
          <w:bCs/>
          <w:color w:val="000000"/>
          <w:sz w:val="24"/>
          <w:szCs w:val="24"/>
        </w:rPr>
        <w:t xml:space="preserve">3.1 K-QA — Open-ended Questions</w:t>
      </w:r>
    </w:p>
    <w:p>
      <w:pPr>
        <w:spacing w:after="80" w:before="80"/>
        <w:jc w:val="both"/>
      </w:pPr>
      <w:r>
        <w:rPr>
          <w:rFonts w:ascii="Times New Roman" w:cs="Times New Roman" w:eastAsia="Times New Roman" w:hAnsi="Times New Roman"/>
          <w:b w:val="false"/>
          <w:bCs w:val="false"/>
          <w:color w:val="000000"/>
          <w:sz w:val="20"/>
          <w:szCs w:val="20"/>
        </w:rPr>
        <w:t xml:space="preserve">K-QA is a medical question-answering dataset made up of real clinical questions. Each question comes with a reference answer written by medical experts, plus a list of key points that a good answer must include (called Must-Have items). It also includes a CID-10 diagnosis code for each question. I used questions 101 to 117 from this dataset.</w:t>
      </w:r>
    </w:p>
    <w:p>
      <w:pPr>
        <w:spacing w:after="60" w:before="60"/>
      </w:pPr>
      <w:r>
        <w:t xml:space="preserve"/>
      </w:r>
    </w:p>
    <w:p>
      <w:pPr>
        <w:pStyle w:val="Heading2"/>
        <w:spacing w:after="120" w:before="240"/>
      </w:pPr>
      <w:r>
        <w:rPr>
          <w:rFonts w:ascii="Times New Roman" w:cs="Times New Roman" w:eastAsia="Times New Roman" w:hAnsi="Times New Roman"/>
          <w:b/>
          <w:bCs/>
          <w:color w:val="000000"/>
          <w:sz w:val="24"/>
          <w:szCs w:val="24"/>
        </w:rPr>
        <w:t xml:space="preserve">3.2 USMLE — Multiple-Choice Questions</w:t>
      </w:r>
    </w:p>
    <w:p>
      <w:pPr>
        <w:spacing w:after="80" w:before="80"/>
        <w:jc w:val="both"/>
      </w:pPr>
      <w:r>
        <w:rPr>
          <w:rFonts w:ascii="Times New Roman" w:cs="Times New Roman" w:eastAsia="Times New Roman" w:hAnsi="Times New Roman"/>
          <w:b w:val="false"/>
          <w:bCs w:val="false"/>
          <w:color w:val="000000"/>
          <w:sz w:val="20"/>
          <w:szCs w:val="20"/>
        </w:rPr>
        <w:t xml:space="preserve">USMLE stands for United States Medical Licensing Examination. The questions are clinical scenarios where the student has to pick the correct answer from several options (A to F). Each question has an official answer key. I used questions 163 to 189, which gave me 27 questions in total.</w:t>
      </w:r>
    </w:p>
    <w:p>
      <w:pPr>
        <w:spacing w:after="60" w:before="60"/>
      </w:pPr>
      <w:r>
        <w:t xml:space="preserve"/>
      </w:r>
    </w:p>
    <w:p>
      <w:pPr>
        <w:pStyle w:val="Heading1"/>
        <w:pBdr>
          <w:bottom w:val="single" w:color="000000" w:sz="4" w:space="4"/>
        </w:pBdr>
        <w:spacing w:after="160" w:before="320"/>
      </w:pPr>
      <w:r>
        <w:rPr>
          <w:rFonts w:ascii="Times New Roman" w:cs="Times New Roman" w:eastAsia="Times New Roman" w:hAnsi="Times New Roman"/>
          <w:b/>
          <w:bCs/>
          <w:color w:val="000000"/>
          <w:sz w:val="28"/>
          <w:szCs w:val="28"/>
        </w:rPr>
        <w:t xml:space="preserve">4. Question Curation</w:t>
      </w:r>
    </w:p>
    <w:p>
      <w:pPr>
        <w:spacing w:after="80" w:before="80"/>
        <w:jc w:val="both"/>
      </w:pPr>
      <w:r>
        <w:rPr>
          <w:rFonts w:ascii="Times New Roman" w:cs="Times New Roman" w:eastAsia="Times New Roman" w:hAnsi="Times New Roman"/>
          <w:b w:val="false"/>
          <w:bCs w:val="false"/>
          <w:color w:val="000000"/>
          <w:sz w:val="20"/>
          <w:szCs w:val="20"/>
        </w:rPr>
        <w:t xml:space="preserve">As part of the curator role, I reviewed each of my 17 open-ended questions and assigned two labels to each one: a difficulty level and a medical specialty area. These labels were defined together with the team and then applied individually.</w:t>
      </w:r>
    </w:p>
    <w:p>
      <w:pPr>
        <w:spacing w:after="60" w:before="60"/>
      </w:pPr>
      <w:r>
        <w:t xml:space="preserve"/>
      </w:r>
    </w:p>
    <w:p>
      <w:pPr>
        <w:pStyle w:val="Heading2"/>
        <w:spacing w:after="120" w:before="240"/>
      </w:pPr>
      <w:r>
        <w:rPr>
          <w:rFonts w:ascii="Times New Roman" w:cs="Times New Roman" w:eastAsia="Times New Roman" w:hAnsi="Times New Roman"/>
          <w:b/>
          <w:bCs/>
          <w:color w:val="000000"/>
          <w:sz w:val="24"/>
          <w:szCs w:val="24"/>
        </w:rPr>
        <w:t xml:space="preserve">4.1 Difficulty Levels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c>
          <w:tcPr>
            <w:tcW w:type="dxa" w:w="15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Times New Roman" w:cs="Times New Roman" w:eastAsia="Times New Roman" w:hAnsi="Times New Roman"/>
                <w:b/>
                <w:bCs/>
                <w:sz w:val="20"/>
                <w:szCs w:val="20"/>
              </w:rPr>
              <w:t xml:space="preserve">Level</w:t>
            </w:r>
          </w:p>
        </w:tc>
        <w:tc>
          <w:tcPr>
            <w:tcW w:type="dxa" w:w="20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Times New Roman" w:cs="Times New Roman" w:eastAsia="Times New Roman" w:hAnsi="Times New Roman"/>
                <w:b/>
                <w:bCs/>
                <w:sz w:val="20"/>
                <w:szCs w:val="20"/>
              </w:rPr>
              <w:t xml:space="preserve">Label</w:t>
            </w:r>
          </w:p>
        </w:tc>
        <w:tc>
          <w:tcPr>
            <w:tcW w:type="dxa" w:w="5526"/>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Basic</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Simple factual question that requires general medical knowledge</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Intermediate</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Requires connecting ideas or telling apart similar conditions</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Advanced</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Complex clinical reasoning with multiple conditions or differential diagnosis</w:t>
            </w:r>
          </w:p>
        </w:tc>
      </w:tr>
    </w:tbl>
    <w:p>
      <w:pPr>
        <w:spacing w:after="60" w:before="60"/>
      </w:pPr>
      <w:r>
        <w:t xml:space="preserve"/>
      </w:r>
    </w:p>
    <w:p>
      <w:pPr>
        <w:pStyle w:val="Heading2"/>
        <w:spacing w:after="120" w:before="240"/>
      </w:pPr>
      <w:r>
        <w:rPr>
          <w:rFonts w:ascii="Times New Roman" w:cs="Times New Roman" w:eastAsia="Times New Roman" w:hAnsi="Times New Roman"/>
          <w:b/>
          <w:bCs/>
          <w:color w:val="000000"/>
          <w:sz w:val="24"/>
          <w:szCs w:val="24"/>
        </w:rPr>
        <w:t xml:space="preserve">4.2 Medical Specialty Areas</w:t>
      </w:r>
    </w:p>
    <w:p>
      <w:pPr>
        <w:spacing w:after="80" w:before="80"/>
        <w:jc w:val="both"/>
      </w:pPr>
      <w:r>
        <w:rPr>
          <w:rFonts w:ascii="Times New Roman" w:cs="Times New Roman" w:eastAsia="Times New Roman" w:hAnsi="Times New Roman"/>
          <w:b w:val="false"/>
          <w:bCs w:val="false"/>
          <w:color w:val="000000"/>
          <w:sz w:val="20"/>
          <w:szCs w:val="20"/>
        </w:rPr>
        <w:t xml:space="preserve">Each question was also assigned to one of the following medical specialties based on its clinical content and CID-10 code: Orthopedics / Rheumatology, Internal Medicine, Gastroenterology, Dermatology, Neurology, Women's Health / Gynecology, and Other Specialties.</w:t>
      </w:r>
    </w:p>
    <w:p>
      <w:pPr>
        <w:spacing w:after="60" w:before="60"/>
      </w:pPr>
      <w:r>
        <w:t xml:space="preserve"/>
      </w:r>
    </w:p>
    <w:p>
      <w:pPr>
        <w:pStyle w:val="Heading1"/>
        <w:pBdr>
          <w:bottom w:val="single" w:color="000000" w:sz="4" w:space="4"/>
        </w:pBdr>
        <w:spacing w:after="160" w:before="320"/>
      </w:pPr>
      <w:r>
        <w:rPr>
          <w:rFonts w:ascii="Times New Roman" w:cs="Times New Roman" w:eastAsia="Times New Roman" w:hAnsi="Times New Roman"/>
          <w:b/>
          <w:bCs/>
          <w:color w:val="000000"/>
          <w:sz w:val="28"/>
          <w:szCs w:val="28"/>
        </w:rPr>
        <w:t xml:space="preserve">5. Models Used</w:t>
      </w:r>
    </w:p>
    <w:p>
      <w:pPr>
        <w:spacing w:after="80" w:before="80"/>
        <w:jc w:val="both"/>
      </w:pPr>
      <w:r>
        <w:rPr>
          <w:rFonts w:ascii="Times New Roman" w:cs="Times New Roman" w:eastAsia="Times New Roman" w:hAnsi="Times New Roman"/>
          <w:b w:val="false"/>
          <w:bCs w:val="false"/>
          <w:color w:val="000000"/>
          <w:sz w:val="20"/>
          <w:szCs w:val="20"/>
        </w:rPr>
        <w:t xml:space="preserve">Three smaller language models (also called SLMs) were selected for this activity. All three were run using the Hugging Face platform with 4-bit compression settings on a T4 GPU in Google Colab. This setup was chosen because it allows running the models on standard free-tier hardware, which matches the course focus on testing open and small models.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300"/>
        <w:gridCol w:w="1426"/>
      </w:tblGrid>
      <w:tr>
        <w:tc>
          <w:tcPr>
            <w:tcW w:type="dxa" w:w="28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Model Name</w:t>
            </w:r>
          </w:p>
        </w:tc>
        <w:tc>
          <w:tcPr>
            <w:tcW w:type="dxa" w:w="35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Times New Roman" w:cs="Times New Roman" w:eastAsia="Times New Roman" w:hAnsi="Times New Roman"/>
                <w:b/>
                <w:bCs/>
                <w:sz w:val="20"/>
                <w:szCs w:val="20"/>
              </w:rPr>
              <w:t xml:space="preserve">HuggingFace ID</w:t>
            </w:r>
          </w:p>
        </w:tc>
        <w:tc>
          <w:tcPr>
            <w:tcW w:type="dxa" w:w="13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Times New Roman" w:cs="Times New Roman" w:eastAsia="Times New Roman" w:hAnsi="Times New Roman"/>
                <w:b/>
                <w:bCs/>
                <w:sz w:val="20"/>
                <w:szCs w:val="20"/>
              </w:rPr>
              <w:t xml:space="preserve">Size</w:t>
            </w:r>
          </w:p>
        </w:tc>
        <w:tc>
          <w:tcPr>
            <w:tcW w:type="dxa" w:w="1426"/>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Times New Roman" w:cs="Times New Roman" w:eastAsia="Times New Roman" w:hAnsi="Times New Roman"/>
                <w:b/>
                <w:bCs/>
                <w:sz w:val="20"/>
                <w:szCs w:val="20"/>
              </w:rPr>
              <w:t xml:space="preserve">Type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BioMistral-7B</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18"/>
                <w:szCs w:val="18"/>
              </w:rPr>
              <w:t xml:space="preserve">BioMistral/BioMistral-7B</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7B</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Medical</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Mistral-7B-Instruct-v0.1</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18"/>
                <w:szCs w:val="18"/>
              </w:rPr>
              <w:t xml:space="preserve">mistralai/Mistral-7B-Instruct-v0.1</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7B</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General</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Qwen1.5-1.8B-Chat</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18"/>
                <w:szCs w:val="18"/>
              </w:rPr>
              <w:t xml:space="preserve">Qwen/Qwen1.5-1.8B-Chat</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1.8B</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General</w:t>
            </w:r>
          </w:p>
        </w:tc>
      </w:tr>
    </w:tbl>
    <w:p>
      <w:pPr>
        <w:spacing w:after="60" w:before="60"/>
      </w:pPr>
      <w:r>
        <w:t xml:space="preserve"/>
      </w:r>
    </w:p>
    <w:p>
      <w:pPr>
        <w:spacing w:after="80" w:before="80"/>
        <w:jc w:val="both"/>
      </w:pPr>
      <w:r>
        <w:rPr>
          <w:rFonts w:ascii="Times New Roman" w:cs="Times New Roman" w:eastAsia="Times New Roman" w:hAnsi="Times New Roman"/>
          <w:b w:val="false"/>
          <w:bCs w:val="false"/>
          <w:color w:val="000000"/>
          <w:sz w:val="20"/>
          <w:szCs w:val="20"/>
        </w:rPr>
        <w:t xml:space="preserve">All three models were loaded with the same compression settings to make the comparison fair. The models ran on the same hardware and received the same prompt format for each question.</w:t>
      </w:r>
    </w:p>
    <w:p>
      <w:pPr>
        <w:spacing w:after="60" w:before="60"/>
      </w:pPr>
      <w:r>
        <w:t xml:space="preserve"/>
      </w:r>
    </w:p>
    <w:p>
      <w:pPr>
        <w:pStyle w:val="Heading1"/>
        <w:pBdr>
          <w:bottom w:val="single" w:color="000000" w:sz="4" w:space="4"/>
        </w:pBdr>
        <w:spacing w:after="160" w:before="320"/>
      </w:pPr>
      <w:r>
        <w:rPr>
          <w:rFonts w:ascii="Times New Roman" w:cs="Times New Roman" w:eastAsia="Times New Roman" w:hAnsi="Times New Roman"/>
          <w:b/>
          <w:bCs/>
          <w:color w:val="000000"/>
          <w:sz w:val="28"/>
          <w:szCs w:val="28"/>
        </w:rPr>
        <w:t xml:space="preserve">6. How I Evaluated the Answers</w:t>
      </w:r>
    </w:p>
    <w:p>
      <w:pPr>
        <w:pStyle w:val="Heading2"/>
        <w:spacing w:after="120" w:before="240"/>
      </w:pPr>
      <w:r>
        <w:rPr>
          <w:rFonts w:ascii="Times New Roman" w:cs="Times New Roman" w:eastAsia="Times New Roman" w:hAnsi="Times New Roman"/>
          <w:b/>
          <w:bCs/>
          <w:color w:val="000000"/>
          <w:sz w:val="24"/>
          <w:szCs w:val="24"/>
        </w:rPr>
        <w:t xml:space="preserve">6.1 Open-ended Questions — Must-Have Score</w:t>
      </w:r>
    </w:p>
    <w:p>
      <w:pPr>
        <w:spacing w:after="80" w:before="80"/>
        <w:jc w:val="both"/>
      </w:pPr>
      <w:r>
        <w:rPr>
          <w:rFonts w:ascii="Times New Roman" w:cs="Times New Roman" w:eastAsia="Times New Roman" w:hAnsi="Times New Roman"/>
          <w:b w:val="false"/>
          <w:bCs w:val="false"/>
          <w:color w:val="000000"/>
          <w:sz w:val="20"/>
          <w:szCs w:val="20"/>
        </w:rPr>
        <w:t xml:space="preserve">For the open-ended questions, I used a keyword coverage score. The K-QA dataset provides a list of key points that every good answer must include. I checked how many of those key points appeared in each model's answer. The score goes from 0.0 to 1.0, where 1.0 means the model covered everything it was supposed to. I used two thresholds to classify answers: a score of 0.5 or above was considered a Good answer, and a score of 0.8 or above was considered Excellent.</w:t>
      </w:r>
    </w:p>
    <w:p>
      <w:pPr>
        <w:spacing w:after="60" w:before="60"/>
      </w:pPr>
      <w:r>
        <w:t xml:space="preserve"/>
      </w:r>
    </w:p>
    <w:p>
      <w:pPr>
        <w:spacing w:after="120" w:before="120"/>
        <w:jc w:val="center"/>
      </w:pPr>
      <w:r>
        <w:rPr>
          <w:rFonts w:ascii="Times New Roman" w:cs="Times New Roman" w:eastAsia="Times New Roman" w:hAnsi="Times New Roman"/>
          <w:b/>
          <w:bCs/>
          <w:i/>
          <w:iCs/>
          <w:sz w:val="20"/>
          <w:szCs w:val="20"/>
        </w:rPr>
        <w:t xml:space="preserve">Score = Keywords covered by the model / Total required keywords</w:t>
      </w:r>
    </w:p>
    <w:p>
      <w:pPr>
        <w:spacing w:after="60" w:before="60"/>
      </w:pPr>
      <w:r>
        <w:t xml:space="preserve"/>
      </w:r>
    </w:p>
    <w:p>
      <w:pPr>
        <w:pStyle w:val="Heading2"/>
        <w:spacing w:after="120" w:before="240"/>
      </w:pPr>
      <w:r>
        <w:rPr>
          <w:rFonts w:ascii="Times New Roman" w:cs="Times New Roman" w:eastAsia="Times New Roman" w:hAnsi="Times New Roman"/>
          <w:b/>
          <w:bCs/>
          <w:color w:val="000000"/>
          <w:sz w:val="24"/>
          <w:szCs w:val="24"/>
        </w:rPr>
        <w:t xml:space="preserve">6.2 Multiple-Choice Questions — Accuracy</w:t>
      </w:r>
    </w:p>
    <w:p>
      <w:pPr>
        <w:spacing w:after="80" w:before="80"/>
        <w:jc w:val="both"/>
      </w:pPr>
      <w:r>
        <w:rPr>
          <w:rFonts w:ascii="Times New Roman" w:cs="Times New Roman" w:eastAsia="Times New Roman" w:hAnsi="Times New Roman"/>
          <w:b w:val="false"/>
          <w:bCs w:val="false"/>
          <w:color w:val="000000"/>
          <w:sz w:val="20"/>
          <w:szCs w:val="20"/>
        </w:rPr>
        <w:t xml:space="preserve">For the multiple-choice questions, each model was asked to output only a single letter (A to F). I extracted the predicted letter and compared it to the official answer key. The metric used was simple accuracy: how many answers were correct out of 27.</w:t>
      </w:r>
    </w:p>
    <w:p>
      <w:pPr>
        <w:spacing w:after="60" w:before="60"/>
      </w:pPr>
      <w:r>
        <w:t xml:space="preserve"/>
      </w:r>
    </w:p>
    <w:p>
      <w:pPr>
        <w:pStyle w:val="Heading1"/>
        <w:pBdr>
          <w:bottom w:val="single" w:color="000000" w:sz="4" w:space="4"/>
        </w:pBdr>
        <w:spacing w:after="160" w:before="320"/>
      </w:pPr>
      <w:r>
        <w:rPr>
          <w:rFonts w:ascii="Times New Roman" w:cs="Times New Roman" w:eastAsia="Times New Roman" w:hAnsi="Times New Roman"/>
          <w:b/>
          <w:bCs/>
          <w:color w:val="000000"/>
          <w:sz w:val="28"/>
          <w:szCs w:val="28"/>
        </w:rPr>
        <w:t xml:space="preserve">7. Results</w:t>
      </w:r>
    </w:p>
    <w:p>
      <w:pPr>
        <w:pStyle w:val="Heading2"/>
        <w:spacing w:after="120" w:before="240"/>
      </w:pPr>
      <w:r>
        <w:rPr>
          <w:rFonts w:ascii="Times New Roman" w:cs="Times New Roman" w:eastAsia="Times New Roman" w:hAnsi="Times New Roman"/>
          <w:b/>
          <w:bCs/>
          <w:color w:val="000000"/>
          <w:sz w:val="24"/>
          <w:szCs w:val="24"/>
        </w:rPr>
        <w:t xml:space="preserve">7.1 Multiple-Choice Results (USMLE — 27 questions)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42"/>
        <w:gridCol w:w="1842"/>
        <w:gridCol w:w="1842"/>
      </w:tblGrid>
      <w:tr>
        <w:tc>
          <w:tcPr>
            <w:tcW w:type="dxa" w:w="3500"/>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Model</w:t>
            </w:r>
          </w:p>
        </w:tc>
        <w:tc>
          <w:tcPr>
            <w:tcW w:type="dxa" w:w="1842"/>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Correct</w:t>
            </w:r>
          </w:p>
        </w:tc>
        <w:tc>
          <w:tcPr>
            <w:tcW w:type="dxa" w:w="1842"/>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Total</w:t>
            </w:r>
          </w:p>
        </w:tc>
        <w:tc>
          <w:tcPr>
            <w:tcW w:type="dxa" w:w="1842"/>
            <w:tcBorders>
              <w:top w:val="single" w:color="AAAAAA" w:sz="1"/>
              <w:left w:val="single" w:color="AAAAAA" w:sz="1"/>
              <w:bottom w:val="single" w:color="AAAAAA" w:sz="1"/>
              <w:right w:val="single" w:color="AAAAAA"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Accuracy</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BioMistral-7B</w:t>
            </w:r>
          </w:p>
        </w:tc>
        <w:tc>
          <w:tcPr>
            <w:tcW w:type="dxa" w:w="1842"/>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w:t>
            </w:r>
          </w:p>
        </w:tc>
        <w:tc>
          <w:tcPr>
            <w:tcW w:type="dxa" w:w="1842"/>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27</w:t>
            </w:r>
          </w:p>
        </w:tc>
        <w:tc>
          <w:tcPr>
            <w:tcW w:type="dxa" w:w="1842"/>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33.3%</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Mistral-7B-Instruct</w:t>
            </w:r>
          </w:p>
        </w:tc>
        <w:tc>
          <w:tcPr>
            <w:tcW w:type="dxa" w:w="1842"/>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w:t>
            </w:r>
          </w:p>
        </w:tc>
        <w:tc>
          <w:tcPr>
            <w:tcW w:type="dxa" w:w="1842"/>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27</w:t>
            </w:r>
          </w:p>
        </w:tc>
        <w:tc>
          <w:tcPr>
            <w:tcW w:type="dxa" w:w="1842"/>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33.3%</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Qwen1.5-1.8B-Chat</w:t>
            </w:r>
          </w:p>
        </w:tc>
        <w:tc>
          <w:tcPr>
            <w:tcW w:type="dxa" w:w="1842"/>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w:t>
            </w:r>
          </w:p>
        </w:tc>
        <w:tc>
          <w:tcPr>
            <w:tcW w:type="dxa" w:w="1842"/>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27</w:t>
            </w:r>
          </w:p>
        </w:tc>
        <w:tc>
          <w:tcPr>
            <w:tcW w:type="dxa" w:w="1842"/>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37.0%</w:t>
            </w:r>
          </w:p>
        </w:tc>
      </w:tr>
    </w:tbl>
    <w:p>
      <w:pPr>
        <w:spacing w:after="60" w:before="60"/>
      </w:pPr>
      <w:r>
        <w:t xml:space="preserve"/>
      </w:r>
    </w:p>
    <w:p>
      <w:pPr>
        <w:pStyle w:val="Heading2"/>
        <w:spacing w:after="120" w:before="240"/>
      </w:pPr>
      <w:r>
        <w:rPr>
          <w:rFonts w:ascii="Times New Roman" w:cs="Times New Roman" w:eastAsia="Times New Roman" w:hAnsi="Times New Roman"/>
          <w:b/>
          <w:bCs/>
          <w:color w:val="000000"/>
          <w:sz w:val="24"/>
          <w:szCs w:val="24"/>
        </w:rPr>
        <w:t xml:space="preserve">7.2 Open-ended Results (K-QA — 17 questions)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100"/>
        <w:gridCol w:w="1100"/>
        <w:gridCol w:w="1100"/>
        <w:gridCol w:w="800"/>
        <w:gridCol w:w="800"/>
        <w:gridCol w:w="1000"/>
        <w:gridCol w:w="1900"/>
      </w:tblGrid>
      <w:tr>
        <w:tc>
          <w:tcPr>
            <w:tcW w:type="dxa" w:w="2226"/>
            <w:tcBorders>
              <w:top w:val="single" w:color="AAAAAA" w:sz="1"/>
              <w:left w:val="single" w:color="AAAAAA" w:sz="1"/>
              <w:bottom w:val="single" w:color="AAAAAA" w:sz="1"/>
              <w:right w:val="single" w:color="AAAAAA" w:sz="1"/>
            </w:tcBorders>
            <w:shd w:fill="D0D0D0" w:val="clear"/>
            <w:tcMar>
              <w:top w:type="dxa" w:w="80"/>
              <w:left w:type="dxa" w:w="80"/>
              <w:bottom w:type="dxa" w:w="80"/>
              <w:right w:type="dxa" w:w="80"/>
            </w:tcMar>
          </w:tcPr>
          <w:p>
            <w:r>
              <w:rPr>
                <w:rFonts w:ascii="Times New Roman" w:cs="Times New Roman" w:eastAsia="Times New Roman" w:hAnsi="Times New Roman"/>
                <w:b/>
                <w:bCs/>
                <w:sz w:val="18"/>
                <w:szCs w:val="18"/>
              </w:rPr>
              <w:t xml:space="preserve">Model</w:t>
            </w:r>
          </w:p>
        </w:tc>
        <w:tc>
          <w:tcPr>
            <w:tcW w:type="dxa" w:w="1100"/>
            <w:tcBorders>
              <w:top w:val="single" w:color="AAAAAA" w:sz="1"/>
              <w:left w:val="single" w:color="AAAAAA" w:sz="1"/>
              <w:bottom w:val="single" w:color="AAAAAA" w:sz="1"/>
              <w:right w:val="single" w:color="AAAAAA" w:sz="1"/>
            </w:tcBorders>
            <w:shd w:fill="D0D0D0" w:val="clear"/>
            <w:tcMar>
              <w:top w:type="dxa" w:w="80"/>
              <w:left w:type="dxa" w:w="80"/>
              <w:bottom w:type="dxa" w:w="80"/>
              <w:right w:type="dxa" w:w="80"/>
            </w:tcMar>
          </w:tcPr>
          <w:p>
            <w:pPr>
              <w:jc w:val="center"/>
            </w:pPr>
            <w:r>
              <w:rPr>
                <w:rFonts w:ascii="Times New Roman" w:cs="Times New Roman" w:eastAsia="Times New Roman" w:hAnsi="Times New Roman"/>
                <w:b/>
                <w:bCs/>
                <w:sz w:val="18"/>
                <w:szCs w:val="18"/>
              </w:rPr>
              <w:t xml:space="preserve">Mean</w:t>
            </w:r>
          </w:p>
        </w:tc>
        <w:tc>
          <w:tcPr>
            <w:tcW w:type="dxa" w:w="1100"/>
            <w:tcBorders>
              <w:top w:val="single" w:color="AAAAAA" w:sz="1"/>
              <w:left w:val="single" w:color="AAAAAA" w:sz="1"/>
              <w:bottom w:val="single" w:color="AAAAAA" w:sz="1"/>
              <w:right w:val="single" w:color="AAAAAA" w:sz="1"/>
            </w:tcBorders>
            <w:shd w:fill="D0D0D0" w:val="clear"/>
            <w:tcMar>
              <w:top w:type="dxa" w:w="80"/>
              <w:left w:type="dxa" w:w="80"/>
              <w:bottom w:type="dxa" w:w="80"/>
              <w:right w:type="dxa" w:w="80"/>
            </w:tcMar>
          </w:tcPr>
          <w:p>
            <w:pPr>
              <w:jc w:val="center"/>
            </w:pPr>
            <w:r>
              <w:rPr>
                <w:rFonts w:ascii="Times New Roman" w:cs="Times New Roman" w:eastAsia="Times New Roman" w:hAnsi="Times New Roman"/>
                <w:b/>
                <w:bCs/>
                <w:sz w:val="18"/>
                <w:szCs w:val="18"/>
              </w:rPr>
              <w:t xml:space="preserve">Median</w:t>
            </w:r>
          </w:p>
        </w:tc>
        <w:tc>
          <w:tcPr>
            <w:tcW w:type="dxa" w:w="1100"/>
            <w:tcBorders>
              <w:top w:val="single" w:color="AAAAAA" w:sz="1"/>
              <w:left w:val="single" w:color="AAAAAA" w:sz="1"/>
              <w:bottom w:val="single" w:color="AAAAAA" w:sz="1"/>
              <w:right w:val="single" w:color="AAAAAA" w:sz="1"/>
            </w:tcBorders>
            <w:shd w:fill="D0D0D0" w:val="clear"/>
            <w:tcMar>
              <w:top w:type="dxa" w:w="80"/>
              <w:left w:type="dxa" w:w="80"/>
              <w:bottom w:type="dxa" w:w="80"/>
              <w:right w:type="dxa" w:w="80"/>
            </w:tcMar>
          </w:tcPr>
          <w:p>
            <w:pPr>
              <w:jc w:val="center"/>
            </w:pPr>
            <w:r>
              <w:rPr>
                <w:rFonts w:ascii="Times New Roman" w:cs="Times New Roman" w:eastAsia="Times New Roman" w:hAnsi="Times New Roman"/>
                <w:b/>
                <w:bCs/>
                <w:sz w:val="18"/>
                <w:szCs w:val="18"/>
              </w:rPr>
              <w:t xml:space="preserve">Std</w:t>
            </w:r>
          </w:p>
        </w:tc>
        <w:tc>
          <w:tcPr>
            <w:tcW w:type="dxa" w:w="800"/>
            <w:tcBorders>
              <w:top w:val="single" w:color="AAAAAA" w:sz="1"/>
              <w:left w:val="single" w:color="AAAAAA" w:sz="1"/>
              <w:bottom w:val="single" w:color="AAAAAA" w:sz="1"/>
              <w:right w:val="single" w:color="AAAAAA" w:sz="1"/>
            </w:tcBorders>
            <w:shd w:fill="D0D0D0" w:val="clear"/>
            <w:tcMar>
              <w:top w:type="dxa" w:w="80"/>
              <w:left w:type="dxa" w:w="80"/>
              <w:bottom w:type="dxa" w:w="80"/>
              <w:right w:type="dxa" w:w="80"/>
            </w:tcMar>
          </w:tcPr>
          <w:p>
            <w:pPr>
              <w:jc w:val="center"/>
            </w:pPr>
            <w:r>
              <w:rPr>
                <w:rFonts w:ascii="Times New Roman" w:cs="Times New Roman" w:eastAsia="Times New Roman" w:hAnsi="Times New Roman"/>
                <w:b/>
                <w:bCs/>
                <w:sz w:val="18"/>
                <w:szCs w:val="18"/>
              </w:rPr>
              <w:t xml:space="preserve">Min</w:t>
            </w:r>
          </w:p>
        </w:tc>
        <w:tc>
          <w:tcPr>
            <w:tcW w:type="dxa" w:w="800"/>
            <w:tcBorders>
              <w:top w:val="single" w:color="AAAAAA" w:sz="1"/>
              <w:left w:val="single" w:color="AAAAAA" w:sz="1"/>
              <w:bottom w:val="single" w:color="AAAAAA" w:sz="1"/>
              <w:right w:val="single" w:color="AAAAAA" w:sz="1"/>
            </w:tcBorders>
            <w:shd w:fill="D0D0D0" w:val="clear"/>
            <w:tcMar>
              <w:top w:type="dxa" w:w="80"/>
              <w:left w:type="dxa" w:w="80"/>
              <w:bottom w:type="dxa" w:w="80"/>
              <w:right w:type="dxa" w:w="80"/>
            </w:tcMar>
          </w:tcPr>
          <w:p>
            <w:pPr>
              <w:jc w:val="center"/>
            </w:pPr>
            <w:r>
              <w:rPr>
                <w:rFonts w:ascii="Times New Roman" w:cs="Times New Roman" w:eastAsia="Times New Roman" w:hAnsi="Times New Roman"/>
                <w:b/>
                <w:bCs/>
                <w:sz w:val="18"/>
                <w:szCs w:val="18"/>
              </w:rPr>
              <w:t xml:space="preserve">Max</w:t>
            </w:r>
          </w:p>
        </w:tc>
        <w:tc>
          <w:tcPr>
            <w:tcW w:type="dxa" w:w="1000"/>
            <w:tcBorders>
              <w:top w:val="single" w:color="AAAAAA" w:sz="1"/>
              <w:left w:val="single" w:color="AAAAAA" w:sz="1"/>
              <w:bottom w:val="single" w:color="AAAAAA" w:sz="1"/>
              <w:right w:val="single" w:color="AAAAAA" w:sz="1"/>
            </w:tcBorders>
            <w:shd w:fill="D0D0D0" w:val="clear"/>
            <w:tcMar>
              <w:top w:type="dxa" w:w="80"/>
              <w:left w:type="dxa" w:w="80"/>
              <w:bottom w:type="dxa" w:w="80"/>
              <w:right w:type="dxa" w:w="80"/>
            </w:tcMar>
          </w:tcPr>
          <w:p>
            <w:pPr>
              <w:jc w:val="center"/>
            </w:pPr>
            <w:r>
              <w:rPr>
                <w:rFonts w:ascii="Times New Roman" w:cs="Times New Roman" w:eastAsia="Times New Roman" w:hAnsi="Times New Roman"/>
                <w:b/>
                <w:bCs/>
                <w:sz w:val="16"/>
                <w:szCs w:val="16"/>
              </w:rPr>
              <w:t xml:space="preserve">Good (&gt;=0.5)</w:t>
            </w:r>
          </w:p>
        </w:tc>
        <w:tc>
          <w:tcPr>
            <w:tcW w:type="dxa" w:w="1900"/>
            <w:tcBorders>
              <w:top w:val="single" w:color="AAAAAA" w:sz="1"/>
              <w:left w:val="single" w:color="AAAAAA" w:sz="1"/>
              <w:bottom w:val="single" w:color="AAAAAA" w:sz="1"/>
              <w:right w:val="single" w:color="AAAAAA" w:sz="1"/>
            </w:tcBorders>
            <w:shd w:fill="D0D0D0" w:val="clear"/>
            <w:tcMar>
              <w:top w:type="dxa" w:w="80"/>
              <w:left w:type="dxa" w:w="80"/>
              <w:bottom w:type="dxa" w:w="80"/>
              <w:right w:type="dxa" w:w="80"/>
            </w:tcMar>
          </w:tcPr>
          <w:p>
            <w:pPr>
              <w:jc w:val="center"/>
            </w:pPr>
            <w:r>
              <w:rPr>
                <w:rFonts w:ascii="Times New Roman" w:cs="Times New Roman" w:eastAsia="Times New Roman" w:hAnsi="Times New Roman"/>
                <w:b/>
                <w:bCs/>
                <w:sz w:val="16"/>
                <w:szCs w:val="16"/>
              </w:rPr>
              <w:t xml:space="preserve">Excellent (&gt;=0.8)</w:t>
            </w:r>
          </w:p>
        </w:tc>
      </w:tr>
      <w:tr>
        <w:tc>
          <w:tcPr>
            <w:tcW w:type="dxa" w:w="2226"/>
            <w:tcBorders>
              <w:top w:val="single" w:color="AAAAAA" w:sz="1"/>
              <w:left w:val="single" w:color="AAAAAA" w:sz="1"/>
              <w:bottom w:val="single" w:color="AAAAAA" w:sz="1"/>
              <w:right w:val="single" w:color="AAAAAA" w:sz="1"/>
            </w:tcBorders>
            <w:tcMar>
              <w:top w:type="dxa" w:w="80"/>
              <w:left w:type="dxa" w:w="80"/>
              <w:bottom w:type="dxa" w:w="80"/>
              <w:right w:type="dxa" w:w="80"/>
            </w:tcMar>
          </w:tcPr>
          <w:p>
            <w:r>
              <w:rPr>
                <w:rFonts w:ascii="Times New Roman" w:cs="Times New Roman" w:eastAsia="Times New Roman" w:hAnsi="Times New Roman"/>
                <w:sz w:val="18"/>
                <w:szCs w:val="18"/>
              </w:rPr>
              <w:t xml:space="preserve">BioMistral-7B</w:t>
            </w:r>
          </w:p>
        </w:tc>
        <w:tc>
          <w:tcPr>
            <w:tcW w:type="dxa" w:w="11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sz w:val="18"/>
                <w:szCs w:val="18"/>
              </w:rPr>
              <w:t xml:space="preserve">0.365</w:t>
            </w:r>
          </w:p>
        </w:tc>
        <w:tc>
          <w:tcPr>
            <w:tcW w:type="dxa" w:w="11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sz w:val="18"/>
                <w:szCs w:val="18"/>
              </w:rPr>
              <w:t xml:space="preserve">0.400</w:t>
            </w:r>
          </w:p>
        </w:tc>
        <w:tc>
          <w:tcPr>
            <w:tcW w:type="dxa" w:w="11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sz w:val="18"/>
                <w:szCs w:val="18"/>
              </w:rPr>
              <w:t xml:space="preserve">0.402</w:t>
            </w:r>
          </w:p>
        </w:tc>
        <w:tc>
          <w:tcPr>
            <w:tcW w:type="dxa" w:w="8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sz w:val="18"/>
                <w:szCs w:val="18"/>
              </w:rPr>
              <w:t xml:space="preserve">0.00</w:t>
            </w:r>
          </w:p>
        </w:tc>
        <w:tc>
          <w:tcPr>
            <w:tcW w:type="dxa" w:w="8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sz w:val="18"/>
                <w:szCs w:val="18"/>
              </w:rPr>
              <w:t xml:space="preserve">1.00</w:t>
            </w:r>
          </w:p>
        </w:tc>
        <w:tc>
          <w:tcPr>
            <w:tcW w:type="dxa" w:w="10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sz w:val="18"/>
                <w:szCs w:val="18"/>
              </w:rPr>
              <w:t xml:space="preserve">6</w:t>
            </w:r>
          </w:p>
        </w:tc>
        <w:tc>
          <w:tcPr>
            <w:tcW w:type="dxa" w:w="19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sz w:val="18"/>
                <w:szCs w:val="18"/>
              </w:rPr>
              <w:t xml:space="preserve">4</w:t>
            </w:r>
          </w:p>
        </w:tc>
      </w:tr>
      <w:tr>
        <w:tc>
          <w:tcPr>
            <w:tcW w:type="dxa" w:w="2226"/>
            <w:tcBorders>
              <w:top w:val="single" w:color="AAAAAA" w:sz="1"/>
              <w:left w:val="single" w:color="AAAAAA" w:sz="1"/>
              <w:bottom w:val="single" w:color="AAAAAA" w:sz="1"/>
              <w:right w:val="single" w:color="AAAAAA" w:sz="1"/>
            </w:tcBorders>
            <w:tcMar>
              <w:top w:type="dxa" w:w="80"/>
              <w:left w:type="dxa" w:w="80"/>
              <w:bottom w:type="dxa" w:w="80"/>
              <w:right w:type="dxa" w:w="80"/>
            </w:tcMar>
          </w:tcPr>
          <w:p>
            <w:r>
              <w:rPr>
                <w:rFonts w:ascii="Times New Roman" w:cs="Times New Roman" w:eastAsia="Times New Roman" w:hAnsi="Times New Roman"/>
                <w:sz w:val="18"/>
                <w:szCs w:val="18"/>
              </w:rPr>
              <w:t xml:space="preserve">Mistral-7B-Instruct</w:t>
            </w:r>
          </w:p>
        </w:tc>
        <w:tc>
          <w:tcPr>
            <w:tcW w:type="dxa" w:w="11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b/>
                <w:bCs/>
                <w:sz w:val="18"/>
                <w:szCs w:val="18"/>
              </w:rPr>
              <w:t xml:space="preserve">0.612</w:t>
            </w:r>
          </w:p>
        </w:tc>
        <w:tc>
          <w:tcPr>
            <w:tcW w:type="dxa" w:w="11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sz w:val="18"/>
                <w:szCs w:val="18"/>
              </w:rPr>
              <w:t xml:space="preserve">0.600</w:t>
            </w:r>
          </w:p>
        </w:tc>
        <w:tc>
          <w:tcPr>
            <w:tcW w:type="dxa" w:w="11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sz w:val="18"/>
                <w:szCs w:val="18"/>
              </w:rPr>
              <w:t xml:space="preserve">0.372</w:t>
            </w:r>
          </w:p>
        </w:tc>
        <w:tc>
          <w:tcPr>
            <w:tcW w:type="dxa" w:w="8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sz w:val="18"/>
                <w:szCs w:val="18"/>
              </w:rPr>
              <w:t xml:space="preserve">0.00</w:t>
            </w:r>
          </w:p>
        </w:tc>
        <w:tc>
          <w:tcPr>
            <w:tcW w:type="dxa" w:w="8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sz w:val="18"/>
                <w:szCs w:val="18"/>
              </w:rPr>
              <w:t xml:space="preserve">1.00</w:t>
            </w:r>
          </w:p>
        </w:tc>
        <w:tc>
          <w:tcPr>
            <w:tcW w:type="dxa" w:w="10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b/>
                <w:bCs/>
                <w:sz w:val="18"/>
                <w:szCs w:val="18"/>
              </w:rPr>
              <w:t xml:space="preserve">11</w:t>
            </w:r>
          </w:p>
        </w:tc>
        <w:tc>
          <w:tcPr>
            <w:tcW w:type="dxa" w:w="19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b/>
                <w:bCs/>
                <w:sz w:val="18"/>
                <w:szCs w:val="18"/>
              </w:rPr>
              <w:t xml:space="preserve">7</w:t>
            </w:r>
          </w:p>
        </w:tc>
      </w:tr>
      <w:tr>
        <w:tc>
          <w:tcPr>
            <w:tcW w:type="dxa" w:w="2226"/>
            <w:tcBorders>
              <w:top w:val="single" w:color="AAAAAA" w:sz="1"/>
              <w:left w:val="single" w:color="AAAAAA" w:sz="1"/>
              <w:bottom w:val="single" w:color="AAAAAA" w:sz="1"/>
              <w:right w:val="single" w:color="AAAAAA" w:sz="1"/>
            </w:tcBorders>
            <w:tcMar>
              <w:top w:type="dxa" w:w="80"/>
              <w:left w:type="dxa" w:w="80"/>
              <w:bottom w:type="dxa" w:w="80"/>
              <w:right w:type="dxa" w:w="80"/>
            </w:tcMar>
          </w:tcPr>
          <w:p>
            <w:r>
              <w:rPr>
                <w:rFonts w:ascii="Times New Roman" w:cs="Times New Roman" w:eastAsia="Times New Roman" w:hAnsi="Times New Roman"/>
                <w:sz w:val="18"/>
                <w:szCs w:val="18"/>
              </w:rPr>
              <w:t xml:space="preserve">Qwen1.5-1.8B-Chat</w:t>
            </w:r>
          </w:p>
        </w:tc>
        <w:tc>
          <w:tcPr>
            <w:tcW w:type="dxa" w:w="11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sz w:val="18"/>
                <w:szCs w:val="18"/>
              </w:rPr>
              <w:t xml:space="preserve">0.447</w:t>
            </w:r>
          </w:p>
        </w:tc>
        <w:tc>
          <w:tcPr>
            <w:tcW w:type="dxa" w:w="11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sz w:val="18"/>
                <w:szCs w:val="18"/>
              </w:rPr>
              <w:t xml:space="preserve">0.500</w:t>
            </w:r>
          </w:p>
        </w:tc>
        <w:tc>
          <w:tcPr>
            <w:tcW w:type="dxa" w:w="11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sz w:val="18"/>
                <w:szCs w:val="18"/>
              </w:rPr>
              <w:t xml:space="preserve">0.359</w:t>
            </w:r>
          </w:p>
        </w:tc>
        <w:tc>
          <w:tcPr>
            <w:tcW w:type="dxa" w:w="8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sz w:val="18"/>
                <w:szCs w:val="18"/>
              </w:rPr>
              <w:t xml:space="preserve">0.00</w:t>
            </w:r>
          </w:p>
        </w:tc>
        <w:tc>
          <w:tcPr>
            <w:tcW w:type="dxa" w:w="8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sz w:val="18"/>
                <w:szCs w:val="18"/>
              </w:rPr>
              <w:t xml:space="preserve">1.00</w:t>
            </w:r>
          </w:p>
        </w:tc>
        <w:tc>
          <w:tcPr>
            <w:tcW w:type="dxa" w:w="10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sz w:val="18"/>
                <w:szCs w:val="18"/>
              </w:rPr>
              <w:t xml:space="preserve">9</w:t>
            </w:r>
          </w:p>
        </w:tc>
        <w:tc>
          <w:tcPr>
            <w:tcW w:type="dxa" w:w="1900"/>
            <w:tcBorders>
              <w:top w:val="single" w:color="AAAAAA" w:sz="1"/>
              <w:left w:val="single" w:color="AAAAAA" w:sz="1"/>
              <w:bottom w:val="single" w:color="AAAAAA" w:sz="1"/>
              <w:right w:val="single" w:color="AAAAAA" w:sz="1"/>
            </w:tcBorders>
            <w:tcMar>
              <w:top w:type="dxa" w:w="80"/>
              <w:left w:type="dxa" w:w="80"/>
              <w:bottom w:type="dxa" w:w="80"/>
              <w:right w:type="dxa" w:w="80"/>
            </w:tcMar>
          </w:tcPr>
          <w:p>
            <w:pPr>
              <w:jc w:val="center"/>
            </w:pPr>
            <w:r>
              <w:rPr>
                <w:rFonts w:ascii="Times New Roman" w:cs="Times New Roman" w:eastAsia="Times New Roman" w:hAnsi="Times New Roman"/>
                <w:sz w:val="18"/>
                <w:szCs w:val="18"/>
              </w:rPr>
              <w:t xml:space="preserve">3</w:t>
            </w:r>
          </w:p>
        </w:tc>
      </w:tr>
    </w:tbl>
    <w:p>
      <w:pPr>
        <w:spacing w:after="60" w:before="60"/>
      </w:pPr>
      <w:r>
        <w:t xml:space="preserve"/>
      </w:r>
    </w:p>
    <w:p>
      <w:pPr>
        <w:pStyle w:val="Heading1"/>
        <w:pBdr>
          <w:bottom w:val="single" w:color="000000" w:sz="4" w:space="4"/>
        </w:pBdr>
        <w:spacing w:after="160" w:before="320"/>
      </w:pPr>
      <w:r>
        <w:rPr>
          <w:rFonts w:ascii="Times New Roman" w:cs="Times New Roman" w:eastAsia="Times New Roman" w:hAnsi="Times New Roman"/>
          <w:b/>
          <w:bCs/>
          <w:color w:val="000000"/>
          <w:sz w:val="28"/>
          <w:szCs w:val="28"/>
        </w:rPr>
        <w:t xml:space="preserve">8. Discussion</w:t>
      </w:r>
    </w:p>
    <w:p>
      <w:pPr>
        <w:pStyle w:val="Heading2"/>
        <w:spacing w:after="120" w:before="240"/>
      </w:pPr>
      <w:r>
        <w:rPr>
          <w:rFonts w:ascii="Times New Roman" w:cs="Times New Roman" w:eastAsia="Times New Roman" w:hAnsi="Times New Roman"/>
          <w:b/>
          <w:bCs/>
          <w:color w:val="000000"/>
          <w:sz w:val="24"/>
          <w:szCs w:val="24"/>
        </w:rPr>
        <w:t xml:space="preserve">8.1 Open-ended Questions</w:t>
      </w:r>
    </w:p>
    <w:p>
      <w:pPr>
        <w:spacing w:after="80" w:before="80"/>
        <w:jc w:val="both"/>
      </w:pPr>
      <w:r>
        <w:rPr>
          <w:rFonts w:ascii="Times New Roman" w:cs="Times New Roman" w:eastAsia="Times New Roman" w:hAnsi="Times New Roman"/>
          <w:b w:val="false"/>
          <w:bCs w:val="false"/>
          <w:color w:val="000000"/>
          <w:sz w:val="20"/>
          <w:szCs w:val="20"/>
        </w:rPr>
        <w:t xml:space="preserve">Mistral-7B-Instruct gave the best answers on the open-ended questions. It had the highest average score (0.612) and produced the most excellent answers — 7 out of 17. Even though it was not trained on medical texts specifically, it is good at following instructions and giving organized answers, which helped it cover more of the required key points.</w:t>
      </w:r>
    </w:p>
    <w:p>
      <w:pPr>
        <w:spacing w:after="60" w:before="60"/>
      </w:pPr>
      <w:r>
        <w:t xml:space="preserve"/>
      </w:r>
    </w:p>
    <w:p>
      <w:pPr>
        <w:spacing w:after="80" w:before="80"/>
        <w:jc w:val="both"/>
      </w:pPr>
      <w:r>
        <w:rPr>
          <w:rFonts w:ascii="Times New Roman" w:cs="Times New Roman" w:eastAsia="Times New Roman" w:hAnsi="Times New Roman"/>
          <w:b w:val="false"/>
          <w:bCs w:val="false"/>
          <w:color w:val="000000"/>
          <w:sz w:val="20"/>
          <w:szCs w:val="20"/>
        </w:rPr>
        <w:t xml:space="preserve">Qwen1.5-1.8B performed reasonably well given its much smaller size (1.8 billion parameters, compared to 7 billion for the other two). It reached an average score of 0.447 and had 9 good answers. This shows that a smaller model can still be useful for medical question answering if it is well-designed for instruction following.</w:t>
      </w:r>
    </w:p>
    <w:p>
      <w:pPr>
        <w:spacing w:after="60" w:before="60"/>
      </w:pPr>
      <w:r>
        <w:t xml:space="preserve"/>
      </w:r>
    </w:p>
    <w:p>
      <w:pPr>
        <w:spacing w:after="80" w:before="80"/>
        <w:jc w:val="both"/>
      </w:pPr>
      <w:r>
        <w:rPr>
          <w:rFonts w:ascii="Times New Roman" w:cs="Times New Roman" w:eastAsia="Times New Roman" w:hAnsi="Times New Roman"/>
          <w:b w:val="false"/>
          <w:bCs w:val="false"/>
          <w:color w:val="000000"/>
          <w:sz w:val="20"/>
          <w:szCs w:val="20"/>
        </w:rPr>
        <w:t xml:space="preserve">BioMistral-7B was trained specifically on medical literature, so one might expect it to perform the best. However, it actually had the lowest average score (0.365) on the open-ended questions. One likely reason is that being trained on medical texts does not automatically make a model better at answering questions in a clear and structured way. Instruction following and answer formatting matter just as much.</w:t>
      </w:r>
    </w:p>
    <w:p>
      <w:pPr>
        <w:spacing w:after="60" w:before="60"/>
      </w:pPr>
      <w:r>
        <w:t xml:space="preserve"/>
      </w:r>
    </w:p>
    <w:p>
      <w:pPr>
        <w:pStyle w:val="Heading2"/>
        <w:spacing w:after="120" w:before="240"/>
      </w:pPr>
      <w:r>
        <w:rPr>
          <w:rFonts w:ascii="Times New Roman" w:cs="Times New Roman" w:eastAsia="Times New Roman" w:hAnsi="Times New Roman"/>
          <w:b/>
          <w:bCs/>
          <w:color w:val="000000"/>
          <w:sz w:val="24"/>
          <w:szCs w:val="24"/>
        </w:rPr>
        <w:t xml:space="preserve">8.2 Multiple-Choice Questions</w:t>
      </w:r>
    </w:p>
    <w:p>
      <w:pPr>
        <w:spacing w:after="80" w:before="80"/>
        <w:jc w:val="both"/>
      </w:pPr>
      <w:r>
        <w:rPr>
          <w:rFonts w:ascii="Times New Roman" w:cs="Times New Roman" w:eastAsia="Times New Roman" w:hAnsi="Times New Roman"/>
          <w:b w:val="false"/>
          <w:bCs w:val="false"/>
          <w:color w:val="000000"/>
          <w:sz w:val="20"/>
          <w:szCs w:val="20"/>
        </w:rPr>
        <w:t xml:space="preserve">All three models scored below 40% on the USMLE multiple-choice questions. Qwen1.5-1.8B had the highest accuracy at 37%, while BioMistral and Mistral both scored 33.3%. These scores are low, but this is expected given the difficulty level of USMLE questions, which require deep clinical knowledge that these small models do not fully have.</w:t>
      </w:r>
    </w:p>
    <w:p>
      <w:pPr>
        <w:spacing w:after="60" w:before="60"/>
      </w:pPr>
      <w:r>
        <w:t xml:space="preserve"/>
      </w:r>
    </w:p>
    <w:p>
      <w:pPr>
        <w:spacing w:after="80" w:before="80"/>
        <w:jc w:val="both"/>
      </w:pPr>
      <w:r>
        <w:rPr>
          <w:rFonts w:ascii="Times New Roman" w:cs="Times New Roman" w:eastAsia="Times New Roman" w:hAnsi="Times New Roman"/>
          <w:b w:val="false"/>
          <w:bCs w:val="false"/>
          <w:color w:val="000000"/>
          <w:sz w:val="20"/>
          <w:szCs w:val="20"/>
        </w:rPr>
        <w:t xml:space="preserve">One interesting pattern is that Mistral led on open-ended questions but tied for last on multiple-choice, while Qwen came first on multiple choice but second on open-ended. This suggests that being good at explaining an answer in free text is a different skill from selecting the right option from a list.</w:t>
      </w:r>
    </w:p>
    <w:p>
      <w:pPr>
        <w:spacing w:after="60" w:before="60"/>
      </w:pPr>
      <w:r>
        <w:t xml:space="preserve"/>
      </w:r>
    </w:p>
    <w:p>
      <w:pPr>
        <w:pStyle w:val="Heading1"/>
        <w:pBdr>
          <w:bottom w:val="single" w:color="000000" w:sz="4" w:space="4"/>
        </w:pBdr>
        <w:spacing w:after="160" w:before="320"/>
      </w:pPr>
      <w:r>
        <w:rPr>
          <w:rFonts w:ascii="Times New Roman" w:cs="Times New Roman" w:eastAsia="Times New Roman" w:hAnsi="Times New Roman"/>
          <w:b/>
          <w:bCs/>
          <w:color w:val="000000"/>
          <w:sz w:val="28"/>
          <w:szCs w:val="28"/>
        </w:rPr>
        <w:t xml:space="preserve">9. Conclusion</w:t>
      </w:r>
    </w:p>
    <w:p>
      <w:pPr>
        <w:spacing w:after="80" w:before="80"/>
        <w:jc w:val="both"/>
      </w:pPr>
      <w:r>
        <w:rPr>
          <w:rFonts w:ascii="Times New Roman" w:cs="Times New Roman" w:eastAsia="Times New Roman" w:hAnsi="Times New Roman"/>
          <w:b w:val="false"/>
          <w:bCs w:val="false"/>
          <w:color w:val="000000"/>
          <w:sz w:val="20"/>
          <w:szCs w:val="20"/>
        </w:rPr>
        <w:t xml:space="preserve">This activity gave me hands-on experience with evaluating language models on real medical questions. Three smaller models were tested on both open-ended and multiple-choice formats, and the results showed some clear patterns.</w:t>
      </w:r>
    </w:p>
    <w:p>
      <w:pPr>
        <w:spacing w:after="60" w:before="60"/>
      </w:pPr>
      <w:r>
        <w:t xml:space="preserve"/>
      </w:r>
    </w:p>
    <w:p>
      <w:pPr>
        <w:spacing w:after="80" w:before="80"/>
        <w:jc w:val="both"/>
      </w:pPr>
      <w:r>
        <w:rPr>
          <w:rFonts w:ascii="Times New Roman" w:cs="Times New Roman" w:eastAsia="Times New Roman" w:hAnsi="Times New Roman"/>
          <w:b w:val="false"/>
          <w:bCs w:val="false"/>
          <w:color w:val="000000"/>
          <w:sz w:val="20"/>
          <w:szCs w:val="20"/>
        </w:rPr>
        <w:t xml:space="preserve">Mistral-7B-Instruct was the best model overall for answering open-ended questions, while Qwen1.5-1.8B had a slight edge on multiple choice despite being much smaller. BioMistral-7B, despite being a medical-domain model, did not outperform the general models in this setup. All three models struggled with the USMLE questions, which reflects the real difficulty of clinical reasoning tasks for small models.</w:t>
      </w:r>
    </w:p>
    <w:p>
      <w:pPr>
        <w:spacing w:after="60" w:before="60"/>
      </w:pPr>
      <w:r>
        <w:t xml:space="preserve"/>
      </w:r>
    </w:p>
    <w:p>
      <w:pPr>
        <w:spacing w:after="80" w:before="80"/>
        <w:jc w:val="both"/>
      </w:pPr>
      <w:r>
        <w:rPr>
          <w:rFonts w:ascii="Times New Roman" w:cs="Times New Roman" w:eastAsia="Times New Roman" w:hAnsi="Times New Roman"/>
          <w:b w:val="false"/>
          <w:bCs w:val="false"/>
          <w:color w:val="000000"/>
          <w:sz w:val="20"/>
          <w:szCs w:val="20"/>
        </w:rPr>
        <w:t xml:space="preserve">The results support the idea discussed in the course that model size and domain specialization alone are not enough to guarantee good performance. How a model was trained to follow instructions and format its answers plays an important role too.</w:t>
      </w:r>
    </w:p>
    <w:p>
      <w:pPr>
        <w:spacing w:after="60" w:before="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3" w:space="4"/>
      </w:pBdr>
      <w:jc w:val="center"/>
    </w:pPr>
    <w:r>
      <w:rPr>
        <w:rFonts w:ascii="Times New Roman" w:cs="Times New Roman" w:eastAsia="Times New Roman" w:hAnsi="Times New Roman"/>
        <w:color w:val="333333"/>
        <w:sz w:val="18"/>
        <w:szCs w:val="18"/>
      </w:rPr>
      <w:t xml:space="preserve">Page </w:t>
    </w:r>
    <w:r>
      <w:rPr>
        <w:rFonts w:ascii="Times New Roman" w:cs="Times New Roman" w:eastAsia="Times New Roman" w:hAnsi="Times New Roman"/>
        <w:color w:val="333333"/>
        <w:sz w:val="18"/>
        <w:szCs w:val="18"/>
      </w:rPr>
      <w:fldChar w:fldCharType="begin"/>
      <w:instrText xml:space="preserve">PAGE</w:instrText>
      <w:fldChar w:fldCharType="separate"/>
      <w:fldChar w:fldCharType="end"/>
    </w:r>
    <w:r>
      <w:rPr>
        <w:rFonts w:ascii="Times New Roman" w:cs="Times New Roman" w:eastAsia="Times New Roman" w:hAnsi="Times New Roman"/>
        <w:color w:val="333333"/>
        <w:sz w:val="18"/>
        <w:szCs w:val="18"/>
      </w:rPr>
      <w:t xml:space="preserve"> of </w:t>
    </w:r>
    <w:r>
      <w:rPr>
        <w:rFonts w:ascii="Times New Roman" w:cs="Times New Roman" w:eastAsia="Times New Roman" w:hAnsi="Times New Roman"/>
        <w:color w:val="33333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3" w:space="4"/>
      </w:pBdr>
      <w:spacing w:after="120"/>
      <w:jc w:val="right"/>
    </w:pPr>
    <w:r>
      <w:rPr>
        <w:rFonts w:ascii="Times New Roman" w:cs="Times New Roman" w:eastAsia="Times New Roman" w:hAnsi="Times New Roman"/>
        <w:i/>
        <w:iCs/>
        <w:color w:val="333333"/>
        <w:sz w:val="18"/>
        <w:szCs w:val="18"/>
      </w:rPr>
      <w:t xml:space="preserve">Activity 1 — Advanced Topics in SE and IS — 2026.1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2026-04-09T14:05:12.434Z</dcterms:created>
  <dcterms:modified xsi:type="dcterms:W3CDTF">2026-04-09T14:05:12.435Z</dcterms:modified>
</cp:coreProperties>
</file>

<file path=docProps/custom.xml><?xml version="1.0" encoding="utf-8"?>
<Properties xmlns="http://schemas.openxmlformats.org/officeDocument/2006/custom-properties" xmlns:vt="http://schemas.openxmlformats.org/officeDocument/2006/docPropsVTypes"/>
</file>