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80" w:after="12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8"/>
          <w:shd w:fill="auto" w:val="clear"/>
        </w:rPr>
        <w:t xml:space="preserve">UNIVERSIDADE FEDERAL DE SERGIPE</w:t>
      </w:r>
    </w:p>
    <w:p>
      <w:pPr>
        <w:spacing w:before="0" w:after="8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2"/>
          <w:shd w:fill="auto" w:val="clear"/>
        </w:rPr>
        <w:t xml:space="preserve">Graduate Program in Computer Science (PROCC)</w:t>
      </w:r>
    </w:p>
    <w:p>
      <w:pPr>
        <w:spacing w:before="0" w:after="32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i/>
          <w:color w:val="000000"/>
          <w:spacing w:val="0"/>
          <w:position w:val="0"/>
          <w:sz w:val="22"/>
          <w:shd w:fill="auto" w:val="clear"/>
        </w:rPr>
        <w:t xml:space="preserve">Advanced Topics in Software Engineering and Information Systems</w:t>
      </w:r>
    </w:p>
    <w:p>
      <w:pPr>
        <w:spacing w:before="0" w:after="320" w:line="240"/>
        <w:ind w:right="0"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Activity 1 </w:t>
      </w:r>
      <w:r>
        <w:rPr>
          <w:rFonts w:ascii="Times New Roman" w:hAnsi="Times New Roman" w:cs="Times New Roman" w:eastAsia="Times New Roman"/>
          <w:b/>
          <w:color w:val="000000"/>
          <w:spacing w:val="0"/>
          <w:position w:val="0"/>
          <w:sz w:val="32"/>
          <w:shd w:fill="auto" w:val="clear"/>
        </w:rPr>
        <w:t xml:space="preserve">—</w:t>
      </w:r>
      <w:r>
        <w:rPr>
          <w:rFonts w:ascii="Times New Roman" w:hAnsi="Times New Roman" w:cs="Times New Roman" w:eastAsia="Times New Roman"/>
          <w:b/>
          <w:color w:val="000000"/>
          <w:spacing w:val="0"/>
          <w:position w:val="0"/>
          <w:sz w:val="32"/>
          <w:shd w:fill="auto" w:val="clear"/>
        </w:rPr>
        <w:t xml:space="preserve"> </w:t>
      </w:r>
      <w:r>
        <w:rPr>
          <w:rFonts w:ascii="Times New Roman" w:hAnsi="Times New Roman" w:cs="Times New Roman" w:eastAsia="Times New Roman"/>
          <w:b/>
          <w:color w:val="000000"/>
          <w:spacing w:val="0"/>
          <w:position w:val="0"/>
          <w:sz w:val="28"/>
          <w:shd w:fill="auto" w:val="clear"/>
        </w:rPr>
        <w:t xml:space="preserve">Open-Source Small Language Model Evaluation on Medical Question Answering</w:t>
      </w:r>
    </w:p>
    <w:p>
      <w:pPr>
        <w:spacing w:before="320" w:after="32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32"/>
          <w:shd w:fill="auto" w:val="clear"/>
        </w:rPr>
        <w:t xml:space="preserve">Medical Domain </w:t>
      </w:r>
      <w:r>
        <w:rPr>
          <w:rFonts w:ascii="Times New Roman" w:hAnsi="Times New Roman" w:cs="Times New Roman" w:eastAsia="Times New Roman"/>
          <w:b/>
          <w:color w:val="000000"/>
          <w:spacing w:val="0"/>
          <w:position w:val="0"/>
          <w:sz w:val="32"/>
          <w:shd w:fill="auto" w:val="clear"/>
        </w:rPr>
        <w:t xml:space="preserve">—</w:t>
      </w:r>
      <w:r>
        <w:rPr>
          <w:rFonts w:ascii="Times New Roman" w:hAnsi="Times New Roman" w:cs="Times New Roman" w:eastAsia="Times New Roman"/>
          <w:b/>
          <w:color w:val="000000"/>
          <w:spacing w:val="0"/>
          <w:position w:val="0"/>
          <w:sz w:val="32"/>
          <w:shd w:fill="auto" w:val="clear"/>
        </w:rPr>
        <w:t xml:space="preserve"> Team 5</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320" w:after="8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4"/>
          <w:shd w:fill="auto" w:val="clear"/>
        </w:rPr>
        <w:t xml:space="preserve">Student:</w:t>
      </w:r>
    </w:p>
    <w:p>
      <w:pPr>
        <w:spacing w:before="0" w:after="6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4"/>
          <w:shd w:fill="auto" w:val="clear"/>
        </w:rPr>
        <w:t xml:space="preserve">Moaath Almohammad Alshaikh</w:t>
      </w:r>
    </w:p>
    <w:p>
      <w:pPr>
        <w:spacing w:before="0" w:after="24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2"/>
          <w:shd w:fill="auto" w:val="clear"/>
        </w:rPr>
        <w:t xml:space="preserve">Student ID: 202611011441</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tbl>
      <w:tblPr/>
      <w:tblGrid>
        <w:gridCol w:w="2500"/>
        <w:gridCol w:w="4500"/>
      </w:tblGrid>
      <w:tr>
        <w:trPr>
          <w:trHeight w:val="1" w:hRule="atLeast"/>
          <w:jc w:val="left"/>
        </w:trPr>
        <w:tc>
          <w:tcPr>
            <w:tcW w:w="2500" w:type="dxa"/>
            <w:tcBorders>
              <w:top w:val="single" w:color="aaaaaa" w:sz="1"/>
              <w:left w:val="single" w:color="aaaaaa" w:sz="1"/>
              <w:bottom w:val="single" w:color="aaaaaa" w:sz="1"/>
              <w:right w:val="single" w:color="aaaaaa"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Professor</w:t>
            </w:r>
          </w:p>
        </w:tc>
        <w:tc>
          <w:tcPr>
            <w:tcW w:w="45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Glauco Carneiro</w:t>
            </w:r>
          </w:p>
        </w:tc>
      </w:tr>
      <w:tr>
        <w:trPr>
          <w:trHeight w:val="1" w:hRule="atLeast"/>
          <w:jc w:val="left"/>
        </w:trPr>
        <w:tc>
          <w:tcPr>
            <w:tcW w:w="2500" w:type="dxa"/>
            <w:tcBorders>
              <w:top w:val="single" w:color="aaaaaa" w:sz="1"/>
              <w:left w:val="single" w:color="aaaaaa" w:sz="1"/>
              <w:bottom w:val="single" w:color="aaaaaa" w:sz="1"/>
              <w:right w:val="single" w:color="aaaaaa"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Course</w:t>
            </w:r>
          </w:p>
        </w:tc>
        <w:tc>
          <w:tcPr>
            <w:tcW w:w="45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Advanced Topics in SE and IS</w:t>
            </w:r>
          </w:p>
        </w:tc>
      </w:tr>
      <w:tr>
        <w:trPr>
          <w:trHeight w:val="1" w:hRule="atLeast"/>
          <w:jc w:val="left"/>
        </w:trPr>
        <w:tc>
          <w:tcPr>
            <w:tcW w:w="2500" w:type="dxa"/>
            <w:tcBorders>
              <w:top w:val="single" w:color="aaaaaa" w:sz="1"/>
              <w:left w:val="single" w:color="aaaaaa" w:sz="1"/>
              <w:bottom w:val="single" w:color="aaaaaa" w:sz="1"/>
              <w:right w:val="single" w:color="aaaaaa"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Semester</w:t>
            </w:r>
          </w:p>
        </w:tc>
        <w:tc>
          <w:tcPr>
            <w:tcW w:w="45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2026.1</w:t>
            </w:r>
          </w:p>
        </w:tc>
      </w:tr>
      <w:tr>
        <w:trPr>
          <w:trHeight w:val="1" w:hRule="atLeast"/>
          <w:jc w:val="left"/>
        </w:trPr>
        <w:tc>
          <w:tcPr>
            <w:tcW w:w="2500" w:type="dxa"/>
            <w:tcBorders>
              <w:top w:val="single" w:color="aaaaaa" w:sz="1"/>
              <w:left w:val="single" w:color="aaaaaa" w:sz="1"/>
              <w:bottom w:val="single" w:color="aaaaaa" w:sz="1"/>
              <w:right w:val="single" w:color="aaaaaa"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Team</w:t>
            </w:r>
          </w:p>
        </w:tc>
        <w:tc>
          <w:tcPr>
            <w:tcW w:w="45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Team 5 </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 Medical Domain</w:t>
            </w:r>
          </w:p>
        </w:tc>
      </w:tr>
      <w:tr>
        <w:trPr>
          <w:trHeight w:val="1" w:hRule="atLeast"/>
          <w:jc w:val="left"/>
        </w:trPr>
        <w:tc>
          <w:tcPr>
            <w:tcW w:w="2500" w:type="dxa"/>
            <w:tcBorders>
              <w:top w:val="single" w:color="aaaaaa" w:sz="1"/>
              <w:left w:val="single" w:color="aaaaaa" w:sz="1"/>
              <w:bottom w:val="single" w:color="aaaaaa" w:sz="1"/>
              <w:right w:val="single" w:color="aaaaaa" w:sz="1"/>
            </w:tcBorders>
            <w:shd w:color="000000" w:fill="e8e8e8" w:val="clear"/>
            <w:tcMar>
              <w:left w:w="120" w:type="dxa"/>
              <w:right w:w="120"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Submission Date</w:t>
            </w:r>
          </w:p>
        </w:tc>
        <w:tc>
          <w:tcPr>
            <w:tcW w:w="45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April 9, 2026</w:t>
            </w:r>
          </w:p>
        </w:tc>
      </w:tr>
    </w:tbl>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 </w:t>
      </w:r>
    </w:p>
    <w:p>
      <w:pPr>
        <w:spacing w:before="0" w:after="6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8"/>
          <w:shd w:fill="auto" w:val="clear"/>
        </w:rPr>
        <w:br/>
      </w:r>
    </w:p>
    <w:p>
      <w:pPr>
        <w:spacing w:before="260" w:after="10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4"/>
          <w:shd w:fill="auto" w:val="clear"/>
        </w:rPr>
        <w:t xml:space="preserve">Abstract</w:t>
      </w: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This report evaluates three open-source small language models (SLMs) on medical question answering tasks, in the context of Activity 1 for the course Advanced Topics in Software Engineering and Information Systems (PROCC/UFS, 2026.1). The models </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 BioMistral-7B, Mistral-7B-Instruct-v0.1, and Qwen1.5-1.8B-Chat </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 were assessed on 17 open-ended questions from the K-QA benchmark (questions 101</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117) and 27 multiple-choice questions from the USMLE dataset (questions 163</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189). Evaluation used Must-Have keyword coverage for open-ended tasks and accuracy for MCQ. Mistral-7B-Instruct led on open-ended performance (mean score 0.612), while Qwen1.5-1.8B marginally led on MCQ (37.0%). BioMistral-7B, despite domain-specific pretraining, underperformed on both tasks. Results highlight the disconnect between domain specialization and instruction-following ability in small models.</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60" w:after="10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4"/>
          <w:shd w:fill="auto" w:val="clear"/>
        </w:rPr>
        <w:t xml:space="preserve">1. Introduction</w:t>
      </w: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The evaluation of language models in high-stakes domains such as medicine presents unique challenges. Models must not only retrieve factual knowledge but also produce responses that are clinically coherent and complete. This report focuses on small open-source models </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 those with fewer than 8 billion parameters </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 which are relevant in resource-constrained deployment scenarios, a central theme of the course curriculum.</w:t>
      </w:r>
    </w:p>
    <w:p>
      <w:pPr>
        <w:spacing w:before="40" w:after="40" w:line="240"/>
        <w:ind w:right="0" w:left="0" w:firstLine="0"/>
        <w:jc w:val="left"/>
        <w:rPr>
          <w:rFonts w:ascii="Times New Roman" w:hAnsi="Times New Roman" w:cs="Times New Roman" w:eastAsia="Times New Roman"/>
          <w:color w:val="000000"/>
          <w:spacing w:val="0"/>
          <w:position w:val="0"/>
          <w:sz w:val="20"/>
          <w:shd w:fill="auto" w:val="clear"/>
        </w:rPr>
      </w:pP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Two complementary task formats are used: open-ended questions, which test free-form generation against expert-defined content requirements, and multiple-choice questions (MCQ), which test structured clinical reasoning. The datasets are K-QA, a real-world medical Q&amp;A benchmark, and USMLE, a standardized clinical licensing exam.</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60" w:after="10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4"/>
          <w:shd w:fill="auto" w:val="clear"/>
        </w:rPr>
        <w:t xml:space="preserve">2. Methodology</w:t>
      </w:r>
    </w:p>
    <w:p>
      <w:pPr>
        <w:spacing w:before="160" w:after="6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2.1  Models and Setup</w:t>
      </w: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Three models were evaluated. BioMistral-7B is a domain-adapted model pretrained on PubMed and medical corpora. Mistral-7B-Instruct-v0.1 is a general-purpose instruction-tuned model. Qwen1.5-1.8B-Chat is a compact multilingual model with instruction tuning. All models were loaded with 4-bit NF4 quantization (BitsAndBytes) on a T4 GPU in Google Colab, using bfloat16 compute dtype and double quantization enabled.</w:t>
      </w:r>
    </w:p>
    <w:p>
      <w:pPr>
        <w:spacing w:before="40" w:after="4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60" w:after="6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2.2  Datasets</w:t>
      </w: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The K-QA dataset provides clinical questions with expert free-form answers and structured Must-Have keyword lists. Questions 101</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117 (17 items) were assigned to this evaluation. The USMLE dataset contains clinical vignette-style MCQs with official answer keys; questions 163</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189 (27 items) were used.</w:t>
      </w:r>
    </w:p>
    <w:p>
      <w:pPr>
        <w:spacing w:before="40" w:after="4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60" w:after="6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2.3  Metrics</w:t>
      </w: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For open-ended questions, a Must-Have Coverage Score was computed: the fraction of required keyword phrases that appear in the model response, with a token-overlap threshold of 50% per phrase. Scores range from 0 to 1; thresholds of 0.5 and 0.8 define Good and Excellent responses respectively. For MCQ, standard accuracy (correct / total) was applied after extracting the predicted letter via pattern matching.</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60" w:after="10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4"/>
          <w:shd w:fill="auto" w:val="clear"/>
        </w:rPr>
        <w:t xml:space="preserve">3. Results</w:t>
      </w:r>
    </w:p>
    <w:p>
      <w:pPr>
        <w:spacing w:before="160" w:after="6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3.1  MCQ and Open-ended Overview</w:t>
      </w:r>
    </w:p>
    <w:p>
      <w:pPr>
        <w:spacing w:before="120" w:after="40" w:line="240"/>
        <w:ind w:right="0" w:left="0" w:firstLine="0"/>
        <w:jc w:val="center"/>
        <w:rPr>
          <w:rFonts w:ascii="Times New Roman" w:hAnsi="Times New Roman" w:cs="Times New Roman" w:eastAsia="Times New Roman"/>
          <w:color w:val="000000"/>
          <w:spacing w:val="0"/>
          <w:position w:val="0"/>
          <w:sz w:val="20"/>
          <w:shd w:fill="auto" w:val="clear"/>
        </w:rPr>
      </w:pPr>
      <w:r>
        <w:object w:dxaOrig="6912" w:dyaOrig="3758">
          <v:rect xmlns:o="urn:schemas-microsoft-com:office:office" xmlns:v="urn:schemas-microsoft-com:vml" id="rectole0000000000" style="width:345.600000pt;height:187.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2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555555"/>
          <w:spacing w:val="0"/>
          <w:position w:val="0"/>
          <w:sz w:val="17"/>
          <w:shd w:fill="auto" w:val="clear"/>
        </w:rPr>
        <w:t xml:space="preserve">Figure 1. MCQ Accuracy (%) vs. Open-ended Mean Score (×100) per model.</w:t>
      </w:r>
    </w:p>
    <w:p>
      <w:pPr>
        <w:spacing w:before="40" w:after="40" w:line="240"/>
        <w:ind w:right="0" w:left="0" w:firstLine="0"/>
        <w:jc w:val="left"/>
        <w:rPr>
          <w:rFonts w:ascii="Times New Roman" w:hAnsi="Times New Roman" w:cs="Times New Roman" w:eastAsia="Times New Roman"/>
          <w:color w:val="000000"/>
          <w:spacing w:val="0"/>
          <w:position w:val="0"/>
          <w:sz w:val="20"/>
          <w:shd w:fill="auto" w:val="clear"/>
        </w:rPr>
      </w:pP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Figure 1 shows that no single model dominates both tasks. Mistral-7B-Instruct achieves the highest open-ended score (0.612) but ties for last on MCQ (33.3%). Qwen1.5-1.8B leads marginally on MCQ (37.0%) with a moderate open-ended score (0.447). BioMistral-7B underperforms on both dimensions despite its medical pretraining.</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60" w:after="6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3.2  Open-ended Answer Quality</w:t>
      </w:r>
    </w:p>
    <w:p>
      <w:pPr>
        <w:spacing w:before="120" w:after="40" w:line="240"/>
        <w:ind w:right="0" w:left="0" w:firstLine="0"/>
        <w:jc w:val="center"/>
        <w:rPr>
          <w:rFonts w:ascii="Times New Roman" w:hAnsi="Times New Roman" w:cs="Times New Roman" w:eastAsia="Times New Roman"/>
          <w:color w:val="000000"/>
          <w:spacing w:val="0"/>
          <w:position w:val="0"/>
          <w:sz w:val="20"/>
          <w:shd w:fill="auto" w:val="clear"/>
        </w:rPr>
      </w:pPr>
      <w:r>
        <w:object w:dxaOrig="6912" w:dyaOrig="3614">
          <v:rect xmlns:o="urn:schemas-microsoft-com:office:office" xmlns:v="urn:schemas-microsoft-com:vml" id="rectole0000000001" style="width:345.600000pt;height:180.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2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555555"/>
          <w:spacing w:val="0"/>
          <w:position w:val="0"/>
          <w:sz w:val="17"/>
          <w:shd w:fill="auto" w:val="clear"/>
        </w:rPr>
        <w:t xml:space="preserve">Figure 2. Number of Good (</w:t>
      </w:r>
      <w:r>
        <w:rPr>
          <w:rFonts w:ascii="Cambria Math" w:hAnsi="Cambria Math" w:cs="Cambria Math" w:eastAsia="Cambria Math"/>
          <w:color w:val="555555"/>
          <w:spacing w:val="0"/>
          <w:position w:val="0"/>
          <w:sz w:val="17"/>
          <w:shd w:fill="auto" w:val="clear"/>
        </w:rPr>
        <w:t xml:space="preserve">≥</w:t>
      </w:r>
      <w:r>
        <w:rPr>
          <w:rFonts w:ascii="Times New Roman" w:hAnsi="Times New Roman" w:cs="Times New Roman" w:eastAsia="Times New Roman"/>
          <w:color w:val="555555"/>
          <w:spacing w:val="0"/>
          <w:position w:val="0"/>
          <w:sz w:val="17"/>
          <w:shd w:fill="auto" w:val="clear"/>
        </w:rPr>
        <w:t xml:space="preserve">0.5) and Excellent (</w:t>
      </w:r>
      <w:r>
        <w:rPr>
          <w:rFonts w:ascii="Cambria Math" w:hAnsi="Cambria Math" w:cs="Cambria Math" w:eastAsia="Cambria Math"/>
          <w:color w:val="555555"/>
          <w:spacing w:val="0"/>
          <w:position w:val="0"/>
          <w:sz w:val="17"/>
          <w:shd w:fill="auto" w:val="clear"/>
        </w:rPr>
        <w:t xml:space="preserve">≥</w:t>
      </w:r>
      <w:r>
        <w:rPr>
          <w:rFonts w:ascii="Times New Roman" w:hAnsi="Times New Roman" w:cs="Times New Roman" w:eastAsia="Times New Roman"/>
          <w:color w:val="555555"/>
          <w:spacing w:val="0"/>
          <w:position w:val="0"/>
          <w:sz w:val="17"/>
          <w:shd w:fill="auto" w:val="clear"/>
        </w:rPr>
        <w:t xml:space="preserve">0.8) answers per model (out of 17).</w:t>
      </w:r>
    </w:p>
    <w:p>
      <w:pPr>
        <w:spacing w:before="40" w:after="40" w:line="240"/>
        <w:ind w:right="0" w:left="0" w:firstLine="0"/>
        <w:jc w:val="left"/>
        <w:rPr>
          <w:rFonts w:ascii="Times New Roman" w:hAnsi="Times New Roman" w:cs="Times New Roman" w:eastAsia="Times New Roman"/>
          <w:color w:val="000000"/>
          <w:spacing w:val="0"/>
          <w:position w:val="0"/>
          <w:sz w:val="20"/>
          <w:shd w:fill="auto" w:val="clear"/>
        </w:rPr>
      </w:pP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Mistral-7B-Instruct produces the most Good (11) and Excellent (7) answers. Qwen1.5-1.8B achieves 9 Good and 3 Excellent answers </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 competitive considering its parameter count is 4</w:t>
      </w:r>
      <w:r>
        <w:rPr>
          <w:rFonts w:ascii="Times New Roman" w:hAnsi="Times New Roman" w:cs="Times New Roman" w:eastAsia="Times New Roman"/>
          <w:color w:val="000000"/>
          <w:spacing w:val="0"/>
          <w:position w:val="0"/>
          <w:sz w:val="20"/>
          <w:shd w:fill="auto" w:val="clear"/>
        </w:rPr>
        <w:t xml:space="preserve">× smaller. BioMistral-7B produces only 6 Good and 4 Excellent answers, with a high standard deviation (0.402) indicating inconsistent coverage across questions.</w:t>
      </w:r>
    </w:p>
    <w:p>
      <w:pPr>
        <w:spacing w:before="40" w:after="4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00" w:after="6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18"/>
          <w:shd w:fill="auto" w:val="clear"/>
        </w:rPr>
        <w:t xml:space="preserve">Table 1. </w:t>
      </w:r>
      <w:r>
        <w:rPr>
          <w:rFonts w:ascii="Times New Roman" w:hAnsi="Times New Roman" w:cs="Times New Roman" w:eastAsia="Times New Roman"/>
          <w:color w:val="000000"/>
          <w:spacing w:val="0"/>
          <w:position w:val="0"/>
          <w:sz w:val="18"/>
          <w:shd w:fill="auto" w:val="clear"/>
        </w:rPr>
        <w:t xml:space="preserve">Open-ended evaluation metrics (Must-Have Coverage Score).</w:t>
      </w:r>
    </w:p>
    <w:tbl>
      <w:tblPr/>
      <w:tblGrid>
        <w:gridCol w:w="2026"/>
        <w:gridCol w:w="900"/>
        <w:gridCol w:w="900"/>
        <w:gridCol w:w="900"/>
        <w:gridCol w:w="800"/>
        <w:gridCol w:w="800"/>
        <w:gridCol w:w="1000"/>
        <w:gridCol w:w="1700"/>
      </w:tblGrid>
      <w:tr>
        <w:trPr>
          <w:trHeight w:val="1" w:hRule="atLeast"/>
          <w:jc w:val="left"/>
        </w:trPr>
        <w:tc>
          <w:tcPr>
            <w:tcW w:w="2026" w:type="dxa"/>
            <w:tcBorders>
              <w:top w:val="single" w:color="bbbbbb" w:sz="1"/>
              <w:left w:val="single" w:color="bbbbbb" w:sz="1"/>
              <w:bottom w:val="single" w:color="bbbbbb" w:sz="1"/>
              <w:right w:val="single" w:color="bbbbbb" w:sz="1"/>
            </w:tcBorders>
            <w:shd w:color="000000" w:fill="f0f0f0"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Model</w:t>
            </w:r>
          </w:p>
        </w:tc>
        <w:tc>
          <w:tcPr>
            <w:tcW w:w="900" w:type="dxa"/>
            <w:tcBorders>
              <w:top w:val="single" w:color="bbbbbb" w:sz="1"/>
              <w:left w:val="single" w:color="bbbbbb" w:sz="1"/>
              <w:bottom w:val="single" w:color="bbbbbb" w:sz="1"/>
              <w:right w:val="single" w:color="bbbbbb" w:sz="1"/>
            </w:tcBorders>
            <w:shd w:color="000000" w:fill="f0f0f0"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Mean</w:t>
            </w:r>
          </w:p>
        </w:tc>
        <w:tc>
          <w:tcPr>
            <w:tcW w:w="900" w:type="dxa"/>
            <w:tcBorders>
              <w:top w:val="single" w:color="bbbbbb" w:sz="1"/>
              <w:left w:val="single" w:color="bbbbbb" w:sz="1"/>
              <w:bottom w:val="single" w:color="bbbbbb" w:sz="1"/>
              <w:right w:val="single" w:color="bbbbbb" w:sz="1"/>
            </w:tcBorders>
            <w:shd w:color="000000" w:fill="f0f0f0"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Median</w:t>
            </w:r>
          </w:p>
        </w:tc>
        <w:tc>
          <w:tcPr>
            <w:tcW w:w="900" w:type="dxa"/>
            <w:tcBorders>
              <w:top w:val="single" w:color="bbbbbb" w:sz="1"/>
              <w:left w:val="single" w:color="bbbbbb" w:sz="1"/>
              <w:bottom w:val="single" w:color="bbbbbb" w:sz="1"/>
              <w:right w:val="single" w:color="bbbbbb" w:sz="1"/>
            </w:tcBorders>
            <w:shd w:color="000000" w:fill="f0f0f0"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Std</w:t>
            </w:r>
          </w:p>
        </w:tc>
        <w:tc>
          <w:tcPr>
            <w:tcW w:w="800" w:type="dxa"/>
            <w:tcBorders>
              <w:top w:val="single" w:color="bbbbbb" w:sz="1"/>
              <w:left w:val="single" w:color="bbbbbb" w:sz="1"/>
              <w:bottom w:val="single" w:color="bbbbbb" w:sz="1"/>
              <w:right w:val="single" w:color="bbbbbb" w:sz="1"/>
            </w:tcBorders>
            <w:shd w:color="000000" w:fill="f0f0f0"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Min</w:t>
            </w:r>
          </w:p>
        </w:tc>
        <w:tc>
          <w:tcPr>
            <w:tcW w:w="800" w:type="dxa"/>
            <w:tcBorders>
              <w:top w:val="single" w:color="bbbbbb" w:sz="1"/>
              <w:left w:val="single" w:color="bbbbbb" w:sz="1"/>
              <w:bottom w:val="single" w:color="bbbbbb" w:sz="1"/>
              <w:right w:val="single" w:color="bbbbbb" w:sz="1"/>
            </w:tcBorders>
            <w:shd w:color="000000" w:fill="f0f0f0"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Max</w:t>
            </w:r>
          </w:p>
        </w:tc>
        <w:tc>
          <w:tcPr>
            <w:tcW w:w="1000" w:type="dxa"/>
            <w:tcBorders>
              <w:top w:val="single" w:color="bbbbbb" w:sz="1"/>
              <w:left w:val="single" w:color="bbbbbb" w:sz="1"/>
              <w:bottom w:val="single" w:color="bbbbbb" w:sz="1"/>
              <w:right w:val="single" w:color="bbbbbb" w:sz="1"/>
            </w:tcBorders>
            <w:shd w:color="000000" w:fill="f0f0f0"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Good </w:t>
            </w:r>
            <w:r>
              <w:rPr>
                <w:rFonts w:ascii="Cambria Math" w:hAnsi="Cambria Math" w:cs="Cambria Math" w:eastAsia="Cambria Math"/>
                <w:b/>
                <w:color w:val="000000"/>
                <w:spacing w:val="0"/>
                <w:position w:val="0"/>
                <w:sz w:val="18"/>
                <w:shd w:fill="auto" w:val="clear"/>
              </w:rPr>
              <w:t xml:space="preserve">≥</w:t>
            </w:r>
            <w:r>
              <w:rPr>
                <w:rFonts w:ascii="Times New Roman" w:hAnsi="Times New Roman" w:cs="Times New Roman" w:eastAsia="Times New Roman"/>
                <w:b/>
                <w:color w:val="000000"/>
                <w:spacing w:val="0"/>
                <w:position w:val="0"/>
                <w:sz w:val="18"/>
                <w:shd w:fill="auto" w:val="clear"/>
              </w:rPr>
              <w:t xml:space="preserve">0.5</w:t>
            </w:r>
          </w:p>
        </w:tc>
        <w:tc>
          <w:tcPr>
            <w:tcW w:w="1700" w:type="dxa"/>
            <w:tcBorders>
              <w:top w:val="single" w:color="bbbbbb" w:sz="1"/>
              <w:left w:val="single" w:color="bbbbbb" w:sz="1"/>
              <w:bottom w:val="single" w:color="bbbbbb" w:sz="1"/>
              <w:right w:val="single" w:color="bbbbbb" w:sz="1"/>
            </w:tcBorders>
            <w:shd w:color="000000" w:fill="f0f0f0"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Excellent </w:t>
            </w:r>
            <w:r>
              <w:rPr>
                <w:rFonts w:ascii="Cambria Math" w:hAnsi="Cambria Math" w:cs="Cambria Math" w:eastAsia="Cambria Math"/>
                <w:b/>
                <w:color w:val="000000"/>
                <w:spacing w:val="0"/>
                <w:position w:val="0"/>
                <w:sz w:val="18"/>
                <w:shd w:fill="auto" w:val="clear"/>
              </w:rPr>
              <w:t xml:space="preserve">≥</w:t>
            </w:r>
            <w:r>
              <w:rPr>
                <w:rFonts w:ascii="Times New Roman" w:hAnsi="Times New Roman" w:cs="Times New Roman" w:eastAsia="Times New Roman"/>
                <w:b/>
                <w:color w:val="000000"/>
                <w:spacing w:val="0"/>
                <w:position w:val="0"/>
                <w:sz w:val="18"/>
                <w:shd w:fill="auto" w:val="clear"/>
              </w:rPr>
              <w:t xml:space="preserve">0.8</w:t>
            </w:r>
          </w:p>
        </w:tc>
      </w:tr>
      <w:tr>
        <w:trPr>
          <w:trHeight w:val="1" w:hRule="atLeast"/>
          <w:jc w:val="left"/>
        </w:trPr>
        <w:tc>
          <w:tcPr>
            <w:tcW w:w="2026"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BioMistral-7B</w:t>
            </w:r>
          </w:p>
        </w:tc>
        <w:tc>
          <w:tcPr>
            <w:tcW w:w="9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0.365</w:t>
            </w:r>
          </w:p>
        </w:tc>
        <w:tc>
          <w:tcPr>
            <w:tcW w:w="9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0.400</w:t>
            </w:r>
          </w:p>
        </w:tc>
        <w:tc>
          <w:tcPr>
            <w:tcW w:w="9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0.402</w:t>
            </w:r>
          </w:p>
        </w:tc>
        <w:tc>
          <w:tcPr>
            <w:tcW w:w="8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0.00</w:t>
            </w:r>
          </w:p>
        </w:tc>
        <w:tc>
          <w:tcPr>
            <w:tcW w:w="8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1.00</w:t>
            </w:r>
          </w:p>
        </w:tc>
        <w:tc>
          <w:tcPr>
            <w:tcW w:w="10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6</w:t>
            </w:r>
          </w:p>
        </w:tc>
        <w:tc>
          <w:tcPr>
            <w:tcW w:w="17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4</w:t>
            </w:r>
          </w:p>
        </w:tc>
      </w:tr>
      <w:tr>
        <w:trPr>
          <w:trHeight w:val="1" w:hRule="atLeast"/>
          <w:jc w:val="left"/>
        </w:trPr>
        <w:tc>
          <w:tcPr>
            <w:tcW w:w="2026"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Mistral-7B-Instruct</w:t>
            </w:r>
          </w:p>
        </w:tc>
        <w:tc>
          <w:tcPr>
            <w:tcW w:w="9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0.612</w:t>
            </w:r>
          </w:p>
        </w:tc>
        <w:tc>
          <w:tcPr>
            <w:tcW w:w="9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0.600</w:t>
            </w:r>
          </w:p>
        </w:tc>
        <w:tc>
          <w:tcPr>
            <w:tcW w:w="9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0.372</w:t>
            </w:r>
          </w:p>
        </w:tc>
        <w:tc>
          <w:tcPr>
            <w:tcW w:w="8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0.00</w:t>
            </w:r>
          </w:p>
        </w:tc>
        <w:tc>
          <w:tcPr>
            <w:tcW w:w="8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1.00</w:t>
            </w:r>
          </w:p>
        </w:tc>
        <w:tc>
          <w:tcPr>
            <w:tcW w:w="10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11</w:t>
            </w:r>
          </w:p>
        </w:tc>
        <w:tc>
          <w:tcPr>
            <w:tcW w:w="17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000000"/>
                <w:spacing w:val="0"/>
                <w:position w:val="0"/>
                <w:sz w:val="18"/>
                <w:shd w:fill="auto" w:val="clear"/>
              </w:rPr>
              <w:t xml:space="preserve">7</w:t>
            </w:r>
          </w:p>
        </w:tc>
      </w:tr>
      <w:tr>
        <w:trPr>
          <w:trHeight w:val="1" w:hRule="atLeast"/>
          <w:jc w:val="left"/>
        </w:trPr>
        <w:tc>
          <w:tcPr>
            <w:tcW w:w="2026"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Qwen1.5-1.8B-Chat</w:t>
            </w:r>
          </w:p>
        </w:tc>
        <w:tc>
          <w:tcPr>
            <w:tcW w:w="9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0.447</w:t>
            </w:r>
          </w:p>
        </w:tc>
        <w:tc>
          <w:tcPr>
            <w:tcW w:w="9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0.500</w:t>
            </w:r>
          </w:p>
        </w:tc>
        <w:tc>
          <w:tcPr>
            <w:tcW w:w="9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0.359</w:t>
            </w:r>
          </w:p>
        </w:tc>
        <w:tc>
          <w:tcPr>
            <w:tcW w:w="8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0.00</w:t>
            </w:r>
          </w:p>
        </w:tc>
        <w:tc>
          <w:tcPr>
            <w:tcW w:w="8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1.00</w:t>
            </w:r>
          </w:p>
        </w:tc>
        <w:tc>
          <w:tcPr>
            <w:tcW w:w="10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9</w:t>
            </w:r>
          </w:p>
        </w:tc>
        <w:tc>
          <w:tcPr>
            <w:tcW w:w="1700" w:type="dxa"/>
            <w:tcBorders>
              <w:top w:val="single" w:color="bbbbbb" w:sz="1"/>
              <w:left w:val="single" w:color="bbbbbb" w:sz="1"/>
              <w:bottom w:val="single" w:color="bbbbbb" w:sz="1"/>
              <w:right w:val="single" w:color="bbbbbb" w:sz="1"/>
            </w:tcBorders>
            <w:shd w:color="000000" w:fill="ffffff" w:val="clear"/>
            <w:tcMar>
              <w:left w:w="100" w:type="dxa"/>
              <w:right w:w="100"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color w:val="000000"/>
                <w:spacing w:val="0"/>
                <w:position w:val="0"/>
                <w:sz w:val="18"/>
                <w:shd w:fill="auto" w:val="clear"/>
              </w:rPr>
              <w:t xml:space="preserve">3</w:t>
            </w:r>
          </w:p>
        </w:tc>
      </w:tr>
    </w:tbl>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160" w:after="6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3.3  Performance Trade-off</w:t>
      </w:r>
    </w:p>
    <w:p>
      <w:pPr>
        <w:spacing w:before="120" w:after="40" w:line="240"/>
        <w:ind w:right="0" w:left="0" w:firstLine="0"/>
        <w:jc w:val="center"/>
        <w:rPr>
          <w:rFonts w:ascii="Calibri" w:hAnsi="Calibri" w:cs="Calibri" w:eastAsia="Calibri"/>
          <w:color w:val="auto"/>
          <w:spacing w:val="0"/>
          <w:position w:val="0"/>
          <w:sz w:val="22"/>
          <w:shd w:fill="auto" w:val="clear"/>
        </w:rPr>
      </w:pPr>
      <w:r>
        <w:object w:dxaOrig="5550" w:dyaOrig="4515">
          <v:rect xmlns:o="urn:schemas-microsoft-com:office:office" xmlns:v="urn:schemas-microsoft-com:vml" id="rectole0000000002" style="width:277.500000pt;height:225.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20" w:after="40" w:line="240"/>
        <w:ind w:right="0" w:left="0" w:firstLine="0"/>
        <w:jc w:val="center"/>
        <w:rPr>
          <w:rFonts w:ascii="Times New Roman" w:hAnsi="Times New Roman" w:cs="Times New Roman" w:eastAsia="Times New Roman"/>
          <w:color w:val="000000"/>
          <w:spacing w:val="0"/>
          <w:position w:val="0"/>
          <w:sz w:val="20"/>
          <w:shd w:fill="auto" w:val="clear"/>
        </w:rPr>
      </w:pPr>
    </w:p>
    <w:p>
      <w:pPr>
        <w:spacing w:before="0" w:after="120" w:line="240"/>
        <w:ind w:right="0" w:left="0" w:firstLine="0"/>
        <w:jc w:val="center"/>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555555"/>
          <w:spacing w:val="0"/>
          <w:position w:val="0"/>
          <w:sz w:val="17"/>
          <w:shd w:fill="auto" w:val="clear"/>
        </w:rPr>
        <w:t xml:space="preserve">Figure 3. Trade-off between MCQ accuracy and open-ended mean score. Bubble size reflects model parameter count.</w:t>
      </w:r>
    </w:p>
    <w:p>
      <w:pPr>
        <w:spacing w:before="40" w:after="40" w:line="240"/>
        <w:ind w:right="0" w:left="0" w:firstLine="0"/>
        <w:jc w:val="left"/>
        <w:rPr>
          <w:rFonts w:ascii="Times New Roman" w:hAnsi="Times New Roman" w:cs="Times New Roman" w:eastAsia="Times New Roman"/>
          <w:color w:val="000000"/>
          <w:spacing w:val="0"/>
          <w:position w:val="0"/>
          <w:sz w:val="20"/>
          <w:shd w:fill="auto" w:val="clear"/>
        </w:rPr>
      </w:pP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Figure 3 illustrates the inverse relationship between MCQ and open-ended performance. Mistral occupies the top-left quadrant (high open-ended, low MCQ) while Qwen is positioned to the right (higher MCQ). No model reaches the top-right quadrant, indicating that balanced performance across both task types remains unachieved among the evaluated SLMs.</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60" w:after="10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4"/>
          <w:shd w:fill="auto" w:val="clear"/>
        </w:rPr>
        <w:t xml:space="preserve">4. Discussion</w:t>
      </w: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Mistral-7B was best at open-ended </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 mean score 0.612, with 7 excellent answers. But it scored only 33% on multiple choice. Qwen-1.8B was slightly better at multiple choice </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 37%. Good result for such a small model. BioMistral was trained on medical texts but still scored the lowest on open-ended questions. Domain training alone is not enough. Overall, all three models scored below 40% on multiple choice. USMLE questions are hard. Open-ended results showed more difference between the models.</w:t>
      </w:r>
    </w:p>
    <w:p>
      <w:pPr>
        <w:spacing w:before="40" w:after="40" w:line="240"/>
        <w:ind w:right="0" w:left="0" w:firstLine="0"/>
        <w:jc w:val="left"/>
        <w:rPr>
          <w:rFonts w:ascii="Times New Roman" w:hAnsi="Times New Roman" w:cs="Times New Roman" w:eastAsia="Times New Roman"/>
          <w:color w:val="000000"/>
          <w:spacing w:val="0"/>
          <w:position w:val="0"/>
          <w:sz w:val="20"/>
          <w:shd w:fill="auto" w:val="clear"/>
        </w:rPr>
      </w:pP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A key implication for the course theme of open-source model benchmarking is that quantization-based deployment on free-tier GPUs is viable for comparative evaluation, even if absolute performance remains limited. The Must-Have metric provides richer differentiation than MCQ accuracy alone, and the two metrics surface different model capabilities.</w:t>
      </w:r>
    </w:p>
    <w:p>
      <w:pPr>
        <w:spacing w:before="60" w:after="60" w:line="240"/>
        <w:ind w:right="0" w:left="0" w:firstLine="0"/>
        <w:jc w:val="left"/>
        <w:rPr>
          <w:rFonts w:ascii="Times New Roman" w:hAnsi="Times New Roman" w:cs="Times New Roman" w:eastAsia="Times New Roman"/>
          <w:color w:val="000000"/>
          <w:spacing w:val="0"/>
          <w:position w:val="0"/>
          <w:sz w:val="20"/>
          <w:shd w:fill="auto" w:val="clear"/>
        </w:rPr>
      </w:pPr>
    </w:p>
    <w:p>
      <w:pPr>
        <w:spacing w:before="260" w:after="10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b/>
          <w:color w:val="000000"/>
          <w:spacing w:val="0"/>
          <w:position w:val="0"/>
          <w:sz w:val="24"/>
          <w:shd w:fill="auto" w:val="clear"/>
        </w:rPr>
        <w:t xml:space="preserve">5. Conclusion</w:t>
      </w:r>
    </w:p>
    <w:p>
      <w:pPr>
        <w:spacing w:before="80" w:after="8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This evaluation benchmarked three small open-source language models on real medical question-answering tasks. Mistral-7B-Instruct led on open-ended coverage while Qwen1.5-1.8B narrowly led on MCQ accuracy. BioMistral-7B did not benefit from its medical domain pretraining in these tasks, suggesting that instruction-following quality matters more than domain adaptation for structured QA prompting. All models fell below 40% MCQ accuracy, reflecting the difficulty of USMLE-level clinical reasoning for sub-8B parameter models. Future work could explore prompt engineering strategies or lightweight fine-tuning to improve structured-answer extraction.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