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4"/>
          <w:szCs w:val="34"/>
        </w:rPr>
        <w:t xml:space="preserve">ProofHound — Term 1 Summary (Weeks 1–5)</w:t>
      </w:r>
    </w:p>
    <w:p>
      <w:pPr>
        <w:pBdr>
          <w:bottom w:val="single" w:color="8EAADB" w:sz="6" w:space="6"/>
        </w:pBdr>
        <w:spacing w:after="160"/>
        <w:jc w:val="center"/>
      </w:pPr>
      <w:r>
        <w:rPr>
          <w:rFonts w:ascii="Arial" w:cs="Arial" w:eastAsia="Arial" w:hAnsi="Arial"/>
          <w:color w:val="595959"/>
          <w:sz w:val="19"/>
          <w:szCs w:val="19"/>
        </w:rPr>
        <w:t xml:space="preserve">October 20, 2026</w:t>
      </w:r>
    </w:p>
    <w:p>
      <w:pPr>
        <w:pStyle w:val="Heading1"/>
        <w:spacing w:after="60" w:before="130"/>
      </w:pPr>
      <w:r>
        <w:rPr>
          <w:rFonts w:ascii="Arial" w:cs="Arial" w:eastAsia="Arial" w:hAnsi="Arial"/>
          <w:b/>
          <w:bCs/>
          <w:color w:val="1F3864"/>
          <w:sz w:val="26"/>
          <w:szCs w:val="26"/>
        </w:rPr>
        <w:t xml:space="preserve">The idea</w:t>
      </w:r>
    </w:p>
    <w:p>
      <w:pPr>
        <w:spacing w:after="80" w:line="262"/>
      </w:pPr>
      <w:r>
        <w:rPr>
          <w:rFonts w:ascii="Arial" w:cs="Arial" w:eastAsia="Arial" w:hAnsi="Arial"/>
          <w:sz w:val="20"/>
          <w:szCs w:val="20"/>
        </w:rPr>
        <w:t xml:space="preserve">Static analysis (SAST) finds suspicious code quickly but raises many false alarms, so developers learn to ignore it. Fuzzing proves a vulnerability by triggering it, but needs a hand-written harness. ProofHound connects the two automatically for every commit:</w:t>
      </w:r>
    </w:p>
    <w:p>
      <w:pPr>
        <w:pStyle w:val="ListParagraph"/>
        <w:numPr>
          <w:ilvl w:val="0"/>
          <w:numId w:val="2"/>
        </w:numPr>
        <w:spacing w:after="60" w:line="262"/>
      </w:pPr>
      <w:r>
        <w:rPr>
          <w:rFonts w:ascii="Arial" w:cs="Arial" w:eastAsia="Arial" w:hAnsi="Arial"/>
          <w:b/>
          <w:bCs/>
          <w:sz w:val="20"/>
          <w:szCs w:val="20"/>
        </w:rPr>
        <w:t xml:space="preserve">Find: </w:t>
      </w:r>
      <w:r>
        <w:rPr>
          <w:rFonts w:ascii="Arial" w:cs="Arial" w:eastAsia="Arial" w:hAnsi="Arial"/>
          <w:sz w:val="20"/>
          <w:szCs w:val="20"/>
        </w:rPr>
        <w:t xml:space="preserve">SAST flags a suspicious source and sink inside the functions the commit changed.</w:t>
      </w:r>
    </w:p>
    <w:p>
      <w:pPr>
        <w:pStyle w:val="ListParagraph"/>
        <w:numPr>
          <w:ilvl w:val="0"/>
          <w:numId w:val="2"/>
        </w:numPr>
        <w:spacing w:after="60" w:line="262"/>
      </w:pPr>
      <w:r>
        <w:rPr>
          <w:rFonts w:ascii="Arial" w:cs="Arial" w:eastAsia="Arial" w:hAnsi="Arial"/>
          <w:b/>
          <w:bCs/>
          <w:sz w:val="20"/>
          <w:szCs w:val="20"/>
        </w:rPr>
        <w:t xml:space="preserve">Write: </w:t>
      </w:r>
      <w:r>
        <w:rPr>
          <w:rFonts w:ascii="Arial" w:cs="Arial" w:eastAsia="Arial" w:hAnsi="Arial"/>
          <w:sz w:val="20"/>
          <w:szCs w:val="20"/>
        </w:rPr>
        <w:t xml:space="preserve">a language model writes a harness guided by that finding, and Jazzer.js fuzzes it in an isolated Docker container with no network.</w:t>
      </w:r>
    </w:p>
    <w:p>
      <w:pPr>
        <w:pStyle w:val="ListParagraph"/>
        <w:numPr>
          <w:ilvl w:val="0"/>
          <w:numId w:val="2"/>
        </w:numPr>
        <w:spacing w:after="60" w:line="262"/>
      </w:pPr>
      <w:r>
        <w:rPr>
          <w:rFonts w:ascii="Arial" w:cs="Arial" w:eastAsia="Arial" w:hAnsi="Arial"/>
          <w:b/>
          <w:bCs/>
          <w:sz w:val="20"/>
          <w:szCs w:val="20"/>
        </w:rPr>
        <w:t xml:space="preserve">Prove: </w:t>
      </w:r>
      <w:r>
        <w:rPr>
          <w:rFonts w:ascii="Arial" w:cs="Arial" w:eastAsia="Arial" w:hAnsi="Arial"/>
          <w:sz w:val="20"/>
          <w:szCs w:val="20"/>
        </w:rPr>
        <w:t xml:space="preserve">a vulnerability is reported only if the crash reproduces 3 times, together with the input that triggers it.</w:t>
      </w:r>
    </w:p>
    <w:p>
      <w:pPr>
        <w:spacing w:after="80" w:line="262"/>
      </w:pPr>
      <w:r>
        <w:rPr>
          <w:rFonts w:ascii="Arial" w:cs="Arial" w:eastAsia="Arial" w:hAnsi="Arial"/>
          <w:sz w:val="20"/>
          <w:szCs w:val="20"/>
        </w:rPr>
        <w:t xml:space="preserve">The question for this term: can a small fine-tuned model that runs locally, with no data leaving the machine, do the harness-writing job of a large API model?</w:t>
      </w:r>
    </w:p>
    <w:p>
      <w:pPr>
        <w:pStyle w:val="Heading1"/>
        <w:spacing w:after="60" w:before="130"/>
      </w:pPr>
      <w:r>
        <w:rPr>
          <w:rFonts w:ascii="Arial" w:cs="Arial" w:eastAsia="Arial" w:hAnsi="Arial"/>
          <w:b/>
          <w:bCs/>
          <w:color w:val="1F3864"/>
          <w:sz w:val="26"/>
          <w:szCs w:val="26"/>
        </w:rPr>
        <w:t xml:space="preserve">Week by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shd w:fill="D9E2F3" w:color="auto" w:val="clear"/>
            <w:tcMar>
              <w:top w:type="dxa" w:w="50"/>
              <w:left w:type="dxa" w:w="90"/>
              <w:bottom w:type="dxa" w:w="50"/>
              <w:right w:type="dxa" w:w="90"/>
            </w:tcMar>
          </w:tcPr>
          <w:p>
            <w:r>
              <w:rPr>
                <w:rFonts w:ascii="Arial" w:cs="Arial" w:eastAsia="Arial" w:hAnsi="Arial"/>
                <w:b/>
                <w:bCs/>
                <w:sz w:val="19"/>
                <w:szCs w:val="19"/>
              </w:rPr>
              <w:t xml:space="preserve">Week</w:t>
            </w:r>
          </w:p>
        </w:tc>
        <w:tc>
          <w:tcPr>
            <w:tcW w:type="dxa" w:w="8026"/>
            <w:shd w:fill="D9E2F3" w:color="auto" w:val="clear"/>
            <w:tcMar>
              <w:top w:type="dxa" w:w="50"/>
              <w:left w:type="dxa" w:w="90"/>
              <w:bottom w:type="dxa" w:w="50"/>
              <w:right w:type="dxa" w:w="90"/>
            </w:tcMar>
          </w:tcPr>
          <w:p>
            <w:r>
              <w:rPr>
                <w:rFonts w:ascii="Arial" w:cs="Arial" w:eastAsia="Arial" w:hAnsi="Arial"/>
                <w:b/>
                <w:bCs/>
                <w:sz w:val="19"/>
                <w:szCs w:val="19"/>
              </w:rPr>
              <w:t xml:space="preserve">Done</w:t>
            </w:r>
          </w:p>
        </w:tc>
      </w:tr>
      <w:tr>
        <w:tc>
          <w:tcPr>
            <w:tcW w:type="dxa" w:w="1000"/>
            <w:tcMar>
              <w:top w:type="dxa" w:w="50"/>
              <w:left w:type="dxa" w:w="90"/>
              <w:bottom w:type="dxa" w:w="50"/>
              <w:right w:type="dxa" w:w="90"/>
            </w:tcMar>
          </w:tcPr>
          <w:p>
            <w:r>
              <w:rPr>
                <w:rFonts w:ascii="Arial" w:cs="Arial" w:eastAsia="Arial" w:hAnsi="Arial"/>
                <w:b/>
                <w:bCs/>
                <w:sz w:val="19"/>
                <w:szCs w:val="19"/>
              </w:rPr>
              <w:t xml:space="preserve">1</w:t>
            </w:r>
          </w:p>
        </w:tc>
        <w:tc>
          <w:tcPr>
            <w:tcW w:type="dxa" w:w="8026"/>
            <w:tcMar>
              <w:top w:type="dxa" w:w="50"/>
              <w:left w:type="dxa" w:w="90"/>
              <w:bottom w:type="dxa" w:w="50"/>
              <w:right w:type="dxa" w:w="90"/>
            </w:tcMar>
          </w:tcPr>
          <w:p>
            <w:r>
              <w:rPr>
                <w:rFonts w:ascii="Arial" w:cs="Arial" w:eastAsia="Arial" w:hAnsi="Arial"/>
                <w:b w:val="false"/>
                <w:bCs w:val="false"/>
                <w:sz w:val="19"/>
                <w:szCs w:val="19"/>
              </w:rPr>
              <w:t xml:space="preserve">Built the single tool-using agent and defined one tool-call protocol that works with both the local model and the API, so the two can be swapped with a config change.</w:t>
            </w:r>
          </w:p>
        </w:tc>
      </w:tr>
      <w:tr>
        <w:tc>
          <w:tcPr>
            <w:tcW w:type="dxa" w:w="1000"/>
            <w:tcMar>
              <w:top w:type="dxa" w:w="50"/>
              <w:left w:type="dxa" w:w="90"/>
              <w:bottom w:type="dxa" w:w="50"/>
              <w:right w:type="dxa" w:w="90"/>
            </w:tcMar>
          </w:tcPr>
          <w:p>
            <w:r>
              <w:rPr>
                <w:rFonts w:ascii="Arial" w:cs="Arial" w:eastAsia="Arial" w:hAnsi="Arial"/>
                <w:b/>
                <w:bCs/>
                <w:sz w:val="19"/>
                <w:szCs w:val="19"/>
              </w:rPr>
              <w:t xml:space="preserve">2</w:t>
            </w:r>
          </w:p>
        </w:tc>
        <w:tc>
          <w:tcPr>
            <w:tcW w:type="dxa" w:w="8026"/>
            <w:tcMar>
              <w:top w:type="dxa" w:w="50"/>
              <w:left w:type="dxa" w:w="90"/>
              <w:bottom w:type="dxa" w:w="50"/>
              <w:right w:type="dxa" w:w="90"/>
            </w:tcMar>
          </w:tcPr>
          <w:p>
            <w:r>
              <w:rPr>
                <w:rFonts w:ascii="Arial" w:cs="Arial" w:eastAsia="Arial" w:hAnsi="Arial"/>
                <w:b w:val="false"/>
                <w:bCs w:val="false"/>
                <w:sz w:val="19"/>
                <w:szCs w:val="19"/>
              </w:rPr>
              <w:t xml:space="preserve">Fixed the definition of proof: “reached” means the harness executed the target function; “confirmed” means the crash reproduced 3 times under the bug detector that matches the vulnerability class. Started generating training data by distillation from Claude, with no artificial cutoff.</w:t>
            </w:r>
          </w:p>
        </w:tc>
      </w:tr>
      <w:tr>
        <w:tc>
          <w:tcPr>
            <w:tcW w:type="dxa" w:w="1000"/>
            <w:tcMar>
              <w:top w:type="dxa" w:w="50"/>
              <w:left w:type="dxa" w:w="90"/>
              <w:bottom w:type="dxa" w:w="50"/>
              <w:right w:type="dxa" w:w="90"/>
            </w:tcMar>
          </w:tcPr>
          <w:p>
            <w:r>
              <w:rPr>
                <w:rFonts w:ascii="Arial" w:cs="Arial" w:eastAsia="Arial" w:hAnsi="Arial"/>
                <w:b/>
                <w:bCs/>
                <w:sz w:val="19"/>
                <w:szCs w:val="19"/>
              </w:rPr>
              <w:t xml:space="preserve">3</w:t>
            </w:r>
          </w:p>
        </w:tc>
        <w:tc>
          <w:tcPr>
            <w:tcW w:type="dxa" w:w="8026"/>
            <w:tcMar>
              <w:top w:type="dxa" w:w="50"/>
              <w:left w:type="dxa" w:w="90"/>
              <w:bottom w:type="dxa" w:w="50"/>
              <w:right w:type="dxa" w:w="90"/>
            </w:tcMar>
          </w:tcPr>
          <w:p>
            <w:r>
              <w:rPr>
                <w:rFonts w:ascii="Arial" w:cs="Arial" w:eastAsia="Arial" w:hAnsi="Arial"/>
                <w:b w:val="false"/>
                <w:bCs w:val="false"/>
                <w:sz w:val="19"/>
                <w:szCs w:val="19"/>
              </w:rPr>
              <w:t xml:space="preserve">Finished generating the data (150 distilled harnesses, plus 28 real harnesses collected from OSS-Fuzz projects) and checked its size and spread across vulnerability classes. Benchmark cases are kept out of training.</w:t>
            </w:r>
          </w:p>
        </w:tc>
      </w:tr>
      <w:tr>
        <w:tc>
          <w:tcPr>
            <w:tcW w:type="dxa" w:w="1000"/>
            <w:tcMar>
              <w:top w:type="dxa" w:w="50"/>
              <w:left w:type="dxa" w:w="90"/>
              <w:bottom w:type="dxa" w:w="50"/>
              <w:right w:type="dxa" w:w="90"/>
            </w:tcMar>
          </w:tcPr>
          <w:p>
            <w:r>
              <w:rPr>
                <w:rFonts w:ascii="Arial" w:cs="Arial" w:eastAsia="Arial" w:hAnsi="Arial"/>
                <w:b/>
                <w:bCs/>
                <w:sz w:val="19"/>
                <w:szCs w:val="19"/>
              </w:rPr>
              <w:t xml:space="preserve">4</w:t>
            </w:r>
          </w:p>
        </w:tc>
        <w:tc>
          <w:tcPr>
            <w:tcW w:type="dxa" w:w="8026"/>
            <w:tcMar>
              <w:top w:type="dxa" w:w="50"/>
              <w:left w:type="dxa" w:w="90"/>
              <w:bottom w:type="dxa" w:w="50"/>
              <w:right w:type="dxa" w:w="90"/>
            </w:tcMar>
          </w:tcPr>
          <w:p>
            <w:r>
              <w:rPr>
                <w:rFonts w:ascii="Arial" w:cs="Arial" w:eastAsia="Arial" w:hAnsi="Arial"/>
                <w:b w:val="false"/>
                <w:bCs w:val="false"/>
                <w:sz w:val="19"/>
                <w:szCs w:val="19"/>
              </w:rPr>
              <w:t xml:space="preserve">Fine-tuned Qwen2.5-Coder-3B with QLoRA on Colab (178 examples) and ran it on the laptop behind a local OpenAI-compatible server that writes real harnesses with no external connection.</w:t>
            </w:r>
          </w:p>
        </w:tc>
      </w:tr>
      <w:tr>
        <w:tc>
          <w:tcPr>
            <w:tcW w:type="dxa" w:w="1000"/>
            <w:tcMar>
              <w:top w:type="dxa" w:w="50"/>
              <w:left w:type="dxa" w:w="90"/>
              <w:bottom w:type="dxa" w:w="50"/>
              <w:right w:type="dxa" w:w="90"/>
            </w:tcMar>
          </w:tcPr>
          <w:p>
            <w:r>
              <w:rPr>
                <w:rFonts w:ascii="Arial" w:cs="Arial" w:eastAsia="Arial" w:hAnsi="Arial"/>
                <w:b/>
                <w:bCs/>
                <w:sz w:val="19"/>
                <w:szCs w:val="19"/>
              </w:rPr>
              <w:t xml:space="preserve">5</w:t>
            </w:r>
          </w:p>
        </w:tc>
        <w:tc>
          <w:tcPr>
            <w:tcW w:type="dxa" w:w="8026"/>
            <w:tcMar>
              <w:top w:type="dxa" w:w="50"/>
              <w:left w:type="dxa" w:w="90"/>
              <w:bottom w:type="dxa" w:w="50"/>
              <w:right w:type="dxa" w:w="90"/>
            </w:tcMar>
          </w:tcPr>
          <w:p>
            <w:r>
              <w:rPr>
                <w:rFonts w:ascii="Arial" w:cs="Arial" w:eastAsia="Arial" w:hAnsi="Arial"/>
                <w:b w:val="false"/>
                <w:bCs w:val="false"/>
                <w:sz w:val="19"/>
                <w:szCs w:val="19"/>
              </w:rPr>
              <w:t xml:space="preserve">Wired the local model into the loop and ran it end to end on 12 cases. Fixed pipeline problems, built the v2 dataset, and trained a 7B model on Kaggle as an upper bound.</w:t>
            </w:r>
          </w:p>
        </w:tc>
      </w:tr>
    </w:tbl>
    <w:p>
      <w:pPr>
        <w:pStyle w:val="Heading1"/>
        <w:spacing w:after="60" w:before="130"/>
      </w:pPr>
      <w:r>
        <w:rPr>
          <w:rFonts w:ascii="Arial" w:cs="Arial" w:eastAsia="Arial" w:hAnsi="Arial"/>
          <w:b/>
          <w:bCs/>
          <w:color w:val="1F3864"/>
          <w:sz w:val="26"/>
          <w:szCs w:val="26"/>
        </w:rPr>
        <w:t xml:space="preserve">Week 5 in more detail</w:t>
      </w:r>
    </w:p>
    <w:p>
      <w:pPr>
        <w:spacing w:after="80" w:line="262"/>
      </w:pPr>
      <w:r>
        <w:rPr>
          <w:rFonts w:ascii="Arial" w:cs="Arial" w:eastAsia="Arial" w:hAnsi="Arial"/>
          <w:b/>
          <w:bCs/>
          <w:sz w:val="20"/>
          <w:szCs w:val="20"/>
        </w:rPr>
        <w:t xml:space="preserve">Pipeline fixes. </w:t>
      </w:r>
      <w:r>
        <w:rPr>
          <w:rFonts w:ascii="Arial" w:cs="Arial" w:eastAsia="Arial" w:hAnsi="Arial"/>
          <w:sz w:val="20"/>
          <w:szCs w:val="20"/>
        </w:rPr>
        <w:t xml:space="preserve">We fixed problems that distorted the first comparison before retraining:</w:t>
      </w:r>
    </w:p>
    <w:p>
      <w:pPr>
        <w:pStyle w:val="ListParagraph"/>
        <w:numPr>
          <w:ilvl w:val="0"/>
          <w:numId w:val="2"/>
        </w:numPr>
        <w:spacing w:after="60" w:line="262"/>
      </w:pPr>
      <w:r>
        <w:rPr>
          <w:rFonts w:ascii="Arial" w:cs="Arial" w:eastAsia="Arial" w:hAnsi="Arial"/>
          <w:sz w:val="20"/>
          <w:szCs w:val="20"/>
        </w:rPr>
        <w:t xml:space="preserve">Claude spent its whole 4,000-token limit on hidden reasoning, so about half of its replies were empty. The limit is now 16,000, and every attempt logs why the model stopped.</w:t>
      </w:r>
    </w:p>
    <w:p>
      <w:pPr>
        <w:pStyle w:val="ListParagraph"/>
        <w:numPr>
          <w:ilvl w:val="0"/>
          <w:numId w:val="2"/>
        </w:numPr>
        <w:spacing w:after="60" w:line="262"/>
      </w:pPr>
      <w:r>
        <w:rPr>
          <w:rFonts w:ascii="Arial" w:cs="Arial" w:eastAsia="Arial" w:hAnsi="Arial"/>
          <w:sz w:val="20"/>
          <w:szCs w:val="20"/>
        </w:rPr>
        <w:t xml:space="preserve">26% of the local model’s repair attempts were exact copies of the failed harness. Repairs now see the previous harness, and an unchanged harness is not run again.</w:t>
      </w:r>
    </w:p>
    <w:p>
      <w:pPr>
        <w:pStyle w:val="ListParagraph"/>
        <w:numPr>
          <w:ilvl w:val="0"/>
          <w:numId w:val="2"/>
        </w:numPr>
        <w:spacing w:after="60" w:line="262"/>
      </w:pPr>
      <w:r>
        <w:rPr>
          <w:rFonts w:ascii="Arial" w:cs="Arial" w:eastAsia="Arial" w:hAnsi="Arial"/>
          <w:sz w:val="20"/>
          <w:szCs w:val="20"/>
        </w:rPr>
        <w:t xml:space="preserve">Duplicate Semgrep findings at the same location are dropped, and error messages are cleaned of fuzzer noise.</w:t>
      </w:r>
    </w:p>
    <w:p>
      <w:pPr>
        <w:pStyle w:val="ListParagraph"/>
        <w:numPr>
          <w:ilvl w:val="0"/>
          <w:numId w:val="2"/>
        </w:numPr>
        <w:spacing w:after="60" w:line="262"/>
      </w:pPr>
      <w:r>
        <w:rPr>
          <w:rFonts w:ascii="Arial" w:cs="Arial" w:eastAsia="Arial" w:hAnsi="Arial"/>
          <w:sz w:val="20"/>
          <w:szCs w:val="20"/>
        </w:rPr>
        <w:t xml:space="preserve">The prompt (version v2) now marks the vulnerable “sink” line and tells the model the input must reach it.</w:t>
      </w:r>
    </w:p>
    <w:p>
      <w:pPr>
        <w:spacing w:after="80" w:line="262"/>
      </w:pPr>
      <w:r>
        <w:rPr>
          <w:rFonts w:ascii="Arial" w:cs="Arial" w:eastAsia="Arial" w:hAnsi="Arial"/>
          <w:b/>
          <w:bCs/>
          <w:sz w:val="20"/>
          <w:szCs w:val="20"/>
        </w:rPr>
        <w:t xml:space="preserve">v2 dataset. </w:t>
      </w:r>
      <w:r>
        <w:rPr>
          <w:rFonts w:ascii="Arial" w:cs="Arial" w:eastAsia="Arial" w:hAnsi="Arial"/>
          <w:sz w:val="20"/>
          <w:szCs w:val="20"/>
        </w:rPr>
        <w:t xml:space="preserve">We kept only the distilled harnesses that actually confirmed a crash with the right bug detector: 97 of 150 (path traversal 38, command injection 32, prototype pollution 27), all rebuilt in the v2 prompt format.</w:t>
      </w:r>
    </w:p>
    <w:p>
      <w:pPr>
        <w:spacing w:after="80" w:line="262"/>
      </w:pPr>
      <w:r>
        <w:rPr>
          <w:rFonts w:ascii="Arial" w:cs="Arial" w:eastAsia="Arial" w:hAnsi="Arial"/>
          <w:b/>
          <w:bCs/>
          <w:sz w:val="20"/>
          <w:szCs w:val="20"/>
        </w:rPr>
        <w:t xml:space="preserve">7B model. </w:t>
      </w:r>
      <w:r>
        <w:rPr>
          <w:rFonts w:ascii="Arial" w:cs="Arial" w:eastAsia="Arial" w:hAnsi="Arial"/>
          <w:sz w:val="20"/>
          <w:szCs w:val="20"/>
        </w:rPr>
        <w:t xml:space="preserve">Colab’s free GPU quota ran out, so we moved training to Kaggle (30 free GPU hours a week) and drive it from the laptop with the Kaggle CLI: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E2F3" w:color="auto" w:val="clear"/>
            <w:tcMar>
              <w:top w:type="dxa" w:w="50"/>
              <w:left w:type="dxa" w:w="90"/>
              <w:bottom w:type="dxa" w:w="50"/>
              <w:right w:type="dxa" w:w="90"/>
            </w:tcMar>
          </w:tcPr>
          <w:p>
            <w:r>
              <w:rPr>
                <w:rFonts w:ascii="Arial" w:cs="Arial" w:eastAsia="Arial" w:hAnsi="Arial"/>
                <w:b/>
                <w:bCs/>
                <w:sz w:val="19"/>
                <w:szCs w:val="19"/>
              </w:rPr>
              <w:t xml:space="preserve">Item</w:t>
            </w:r>
          </w:p>
        </w:tc>
        <w:tc>
          <w:tcPr>
            <w:tcW w:type="dxa" w:w="6626"/>
            <w:shd w:fill="D9E2F3" w:color="auto" w:val="clear"/>
            <w:tcMar>
              <w:top w:type="dxa" w:w="50"/>
              <w:left w:type="dxa" w:w="90"/>
              <w:bottom w:type="dxa" w:w="50"/>
              <w:right w:type="dxa" w:w="90"/>
            </w:tcMar>
          </w:tcPr>
          <w:p>
            <w:r>
              <w:rPr>
                <w:rFonts w:ascii="Arial" w:cs="Arial" w:eastAsia="Arial" w:hAnsi="Arial"/>
                <w:b/>
                <w:bCs/>
                <w:sz w:val="19"/>
                <w:szCs w:val="19"/>
              </w:rPr>
              <w:t xml:space="preserve">Value</w:t>
            </w:r>
          </w:p>
        </w:tc>
      </w:tr>
      <w:tr>
        <w:tc>
          <w:tcPr>
            <w:tcW w:type="dxa" w:w="2400"/>
            <w:tcMar>
              <w:top w:type="dxa" w:w="50"/>
              <w:left w:type="dxa" w:w="90"/>
              <w:bottom w:type="dxa" w:w="50"/>
              <w:right w:type="dxa" w:w="90"/>
            </w:tcMar>
          </w:tcPr>
          <w:p>
            <w:r>
              <w:rPr>
                <w:rFonts w:ascii="Arial" w:cs="Arial" w:eastAsia="Arial" w:hAnsi="Arial"/>
                <w:b w:val="false"/>
                <w:bCs w:val="false"/>
                <w:sz w:val="19"/>
                <w:szCs w:val="19"/>
              </w:rPr>
              <w:t xml:space="preserve">Model</w:t>
            </w:r>
          </w:p>
        </w:tc>
        <w:tc>
          <w:tcPr>
            <w:tcW w:type="dxa" w:w="6626"/>
            <w:tcMar>
              <w:top w:type="dxa" w:w="50"/>
              <w:left w:type="dxa" w:w="90"/>
              <w:bottom w:type="dxa" w:w="50"/>
              <w:right w:type="dxa" w:w="90"/>
            </w:tcMar>
          </w:tcPr>
          <w:p>
            <w:r>
              <w:rPr>
                <w:rFonts w:ascii="Arial" w:cs="Arial" w:eastAsia="Arial" w:hAnsi="Arial"/>
                <w:b w:val="false"/>
                <w:bCs w:val="false"/>
                <w:sz w:val="19"/>
                <w:szCs w:val="19"/>
              </w:rPr>
              <w:t xml:space="preserve">Qwen2.5-Coder-7B-Instruct, QLoRA (4-bit)</w:t>
            </w:r>
          </w:p>
        </w:tc>
      </w:tr>
      <w:tr>
        <w:tc>
          <w:tcPr>
            <w:tcW w:type="dxa" w:w="2400"/>
            <w:tcMar>
              <w:top w:type="dxa" w:w="50"/>
              <w:left w:type="dxa" w:w="90"/>
              <w:bottom w:type="dxa" w:w="50"/>
              <w:right w:type="dxa" w:w="90"/>
            </w:tcMar>
          </w:tcPr>
          <w:p>
            <w:r>
              <w:rPr>
                <w:rFonts w:ascii="Arial" w:cs="Arial" w:eastAsia="Arial" w:hAnsi="Arial"/>
                <w:b w:val="false"/>
                <w:bCs w:val="false"/>
                <w:sz w:val="19"/>
                <w:szCs w:val="19"/>
              </w:rPr>
              <w:t xml:space="preserve">Hardware</w:t>
            </w:r>
          </w:p>
        </w:tc>
        <w:tc>
          <w:tcPr>
            <w:tcW w:type="dxa" w:w="6626"/>
            <w:tcMar>
              <w:top w:type="dxa" w:w="50"/>
              <w:left w:type="dxa" w:w="90"/>
              <w:bottom w:type="dxa" w:w="50"/>
              <w:right w:type="dxa" w:w="90"/>
            </w:tcMar>
          </w:tcPr>
          <w:p>
            <w:r>
              <w:rPr>
                <w:rFonts w:ascii="Arial" w:cs="Arial" w:eastAsia="Arial" w:hAnsi="Arial"/>
                <w:b w:val="false"/>
                <w:bCs w:val="false"/>
                <w:sz w:val="19"/>
                <w:szCs w:val="19"/>
              </w:rPr>
              <w:t xml:space="preserve">One Tesla T4 (14.6 GiB) on Kaggle, free</w:t>
            </w:r>
          </w:p>
        </w:tc>
      </w:tr>
      <w:tr>
        <w:tc>
          <w:tcPr>
            <w:tcW w:type="dxa" w:w="2400"/>
            <w:tcMar>
              <w:top w:type="dxa" w:w="50"/>
              <w:left w:type="dxa" w:w="90"/>
              <w:bottom w:type="dxa" w:w="50"/>
              <w:right w:type="dxa" w:w="90"/>
            </w:tcMar>
          </w:tcPr>
          <w:p>
            <w:r>
              <w:rPr>
                <w:rFonts w:ascii="Arial" w:cs="Arial" w:eastAsia="Arial" w:hAnsi="Arial"/>
                <w:b w:val="false"/>
                <w:bCs w:val="false"/>
                <w:sz w:val="19"/>
                <w:szCs w:val="19"/>
              </w:rPr>
              <w:t xml:space="preserve">Settings</w:t>
            </w:r>
          </w:p>
        </w:tc>
        <w:tc>
          <w:tcPr>
            <w:tcW w:type="dxa" w:w="6626"/>
            <w:tcMar>
              <w:top w:type="dxa" w:w="50"/>
              <w:left w:type="dxa" w:w="90"/>
              <w:bottom w:type="dxa" w:w="50"/>
              <w:right w:type="dxa" w:w="90"/>
            </w:tcMar>
          </w:tcPr>
          <w:p>
            <w:r>
              <w:rPr>
                <w:rFonts w:ascii="Arial" w:cs="Arial" w:eastAsia="Arial" w:hAnsi="Arial"/>
                <w:b w:val="false"/>
                <w:bCs w:val="false"/>
                <w:sz w:val="19"/>
                <w:szCs w:val="19"/>
              </w:rPr>
              <w:t xml:space="preserve">2,048 tokens, LoRA rank 8, attention layers only</w:t>
            </w:r>
          </w:p>
        </w:tc>
      </w:tr>
      <w:tr>
        <w:tc>
          <w:tcPr>
            <w:tcW w:type="dxa" w:w="2400"/>
            <w:tcMar>
              <w:top w:type="dxa" w:w="50"/>
              <w:left w:type="dxa" w:w="90"/>
              <w:bottom w:type="dxa" w:w="50"/>
              <w:right w:type="dxa" w:w="90"/>
            </w:tcMar>
          </w:tcPr>
          <w:p>
            <w:r>
              <w:rPr>
                <w:rFonts w:ascii="Arial" w:cs="Arial" w:eastAsia="Arial" w:hAnsi="Arial"/>
                <w:b w:val="false"/>
                <w:bCs w:val="false"/>
                <w:sz w:val="19"/>
                <w:szCs w:val="19"/>
              </w:rPr>
              <w:t xml:space="preserve">Trainable parameters</w:t>
            </w:r>
          </w:p>
        </w:tc>
        <w:tc>
          <w:tcPr>
            <w:tcW w:type="dxa" w:w="6626"/>
            <w:tcMar>
              <w:top w:type="dxa" w:w="50"/>
              <w:left w:type="dxa" w:w="90"/>
              <w:bottom w:type="dxa" w:w="50"/>
              <w:right w:type="dxa" w:w="90"/>
            </w:tcMar>
          </w:tcPr>
          <w:p>
            <w:r>
              <w:rPr>
                <w:rFonts w:ascii="Arial" w:cs="Arial" w:eastAsia="Arial" w:hAnsi="Arial"/>
                <w:b w:val="false"/>
                <w:bCs w:val="false"/>
                <w:sz w:val="19"/>
                <w:szCs w:val="19"/>
              </w:rPr>
              <w:t xml:space="preserve">5.0M of 7.6B (0.07%)</w:t>
            </w:r>
          </w:p>
        </w:tc>
      </w:tr>
      <w:tr>
        <w:tc>
          <w:tcPr>
            <w:tcW w:type="dxa" w:w="2400"/>
            <w:tcMar>
              <w:top w:type="dxa" w:w="50"/>
              <w:left w:type="dxa" w:w="90"/>
              <w:bottom w:type="dxa" w:w="50"/>
              <w:right w:type="dxa" w:w="90"/>
            </w:tcMar>
          </w:tcPr>
          <w:p>
            <w:r>
              <w:rPr>
                <w:rFonts w:ascii="Arial" w:cs="Arial" w:eastAsia="Arial" w:hAnsi="Arial"/>
                <w:b w:val="false"/>
                <w:bCs w:val="false"/>
                <w:sz w:val="19"/>
                <w:szCs w:val="19"/>
              </w:rPr>
              <w:t xml:space="preserve">Training</w:t>
            </w:r>
          </w:p>
        </w:tc>
        <w:tc>
          <w:tcPr>
            <w:tcW w:type="dxa" w:w="6626"/>
            <w:tcMar>
              <w:top w:type="dxa" w:w="50"/>
              <w:left w:type="dxa" w:w="90"/>
              <w:bottom w:type="dxa" w:w="50"/>
              <w:right w:type="dxa" w:w="90"/>
            </w:tcMar>
          </w:tcPr>
          <w:p>
            <w:r>
              <w:rPr>
                <w:rFonts w:ascii="Arial" w:cs="Arial" w:eastAsia="Arial" w:hAnsi="Arial"/>
                <w:b w:val="false"/>
                <w:bCs w:val="false"/>
                <w:sz w:val="19"/>
                <w:szCs w:val="19"/>
              </w:rPr>
              <w:t xml:space="preserve">39 steps in about 2 h 54 min; loss 0.87 → about 0.55; no out-of-memory error</w:t>
            </w:r>
          </w:p>
        </w:tc>
      </w:tr>
      <w:tr>
        <w:tc>
          <w:tcPr>
            <w:tcW w:type="dxa" w:w="2400"/>
            <w:tcMar>
              <w:top w:type="dxa" w:w="50"/>
              <w:left w:type="dxa" w:w="90"/>
              <w:bottom w:type="dxa" w:w="50"/>
              <w:right w:type="dxa" w:w="90"/>
            </w:tcMar>
          </w:tcPr>
          <w:p>
            <w:r>
              <w:rPr>
                <w:rFonts w:ascii="Arial" w:cs="Arial" w:eastAsia="Arial" w:hAnsi="Arial"/>
                <w:b w:val="false"/>
                <w:bCs w:val="false"/>
                <w:sz w:val="19"/>
                <w:szCs w:val="19"/>
              </w:rPr>
              <w:t xml:space="preserve">On the laptop</w:t>
            </w:r>
          </w:p>
        </w:tc>
        <w:tc>
          <w:tcPr>
            <w:tcW w:type="dxa" w:w="6626"/>
            <w:tcMar>
              <w:top w:type="dxa" w:w="50"/>
              <w:left w:type="dxa" w:w="90"/>
              <w:bottom w:type="dxa" w:w="50"/>
              <w:right w:type="dxa" w:w="90"/>
            </w:tcMar>
          </w:tcPr>
          <w:p>
            <w:r>
              <w:rPr>
                <w:rFonts w:ascii="Arial" w:cs="Arial" w:eastAsia="Arial" w:hAnsi="Arial"/>
                <w:b w:val="false"/>
                <w:bCs w:val="false"/>
                <w:sz w:val="19"/>
                <w:szCs w:val="19"/>
              </w:rPr>
              <w:t xml:space="preserve">Runs on the RTX 4050 (6 GB) at 5.9 GB peak; same output as on Kaggle</w:t>
            </w:r>
          </w:p>
        </w:tc>
      </w:tr>
    </w:tbl>
    <w:p>
      <w:pPr>
        <w:pStyle w:val="Heading1"/>
        <w:spacing w:after="60" w:before="130"/>
      </w:pPr>
      <w:r>
        <w:rPr>
          <w:rFonts w:ascii="Arial" w:cs="Arial" w:eastAsia="Arial" w:hAnsi="Arial"/>
          <w:b/>
          <w:bCs/>
          <w:color w:val="1F3864"/>
          <w:sz w:val="26"/>
          <w:szCs w:val="26"/>
        </w:rPr>
        <w:t xml:space="preserve">Key results</w:t>
      </w:r>
    </w:p>
    <w:p>
      <w:pPr>
        <w:pStyle w:val="ListParagraph"/>
        <w:numPr>
          <w:ilvl w:val="0"/>
          <w:numId w:val="2"/>
        </w:numPr>
        <w:spacing w:after="60" w:line="262"/>
      </w:pPr>
      <w:r>
        <w:rPr>
          <w:rFonts w:ascii="Arial" w:cs="Arial" w:eastAsia="Arial" w:hAnsi="Arial"/>
          <w:b/>
          <w:bCs/>
          <w:sz w:val="20"/>
          <w:szCs w:val="20"/>
        </w:rPr>
        <w:t xml:space="preserve">SAST alone: </w:t>
      </w:r>
      <w:r>
        <w:rPr>
          <w:rFonts w:ascii="Arial" w:cs="Arial" w:eastAsia="Arial" w:hAnsi="Arial"/>
          <w:sz w:val="20"/>
          <w:szCs w:val="20"/>
        </w:rPr>
        <w:t xml:space="preserve">found the right location in 30 of 31 cases but raised 244 false alarms (about 8 per case), which is exactly why confirmation by fuzzing is needed.</w:t>
      </w:r>
    </w:p>
    <w:p>
      <w:pPr>
        <w:pStyle w:val="ListParagraph"/>
        <w:numPr>
          <w:ilvl w:val="0"/>
          <w:numId w:val="2"/>
        </w:numPr>
        <w:spacing w:after="60" w:line="262"/>
      </w:pPr>
      <w:r>
        <w:rPr>
          <w:rFonts w:ascii="Arial" w:cs="Arial" w:eastAsia="Arial" w:hAnsi="Arial"/>
          <w:b/>
          <w:bCs/>
          <w:sz w:val="20"/>
          <w:szCs w:val="20"/>
        </w:rPr>
        <w:t xml:space="preserve">First full run with Claude (6 cases): </w:t>
      </w:r>
      <w:r>
        <w:rPr>
          <w:rFonts w:ascii="Arial" w:cs="Arial" w:eastAsia="Arial" w:hAnsi="Arial"/>
          <w:sz w:val="20"/>
          <w:szCs w:val="20"/>
        </w:rPr>
        <w:t xml:space="preserve">the vulnerability was detected in 5 of 6 cases; harness success was 80% after repair.</w:t>
      </w:r>
    </w:p>
    <w:p>
      <w:pPr>
        <w:pStyle w:val="ListParagraph"/>
        <w:numPr>
          <w:ilvl w:val="0"/>
          <w:numId w:val="2"/>
        </w:numPr>
        <w:spacing w:after="60" w:line="262"/>
      </w:pPr>
      <w:r>
        <w:rPr>
          <w:rFonts w:ascii="Arial" w:cs="Arial" w:eastAsia="Arial" w:hAnsi="Arial"/>
          <w:b/>
          <w:bCs/>
          <w:sz w:val="20"/>
          <w:szCs w:val="20"/>
        </w:rPr>
        <w:t xml:space="preserve">Single agent: </w:t>
      </w:r>
      <w:r>
        <w:rPr>
          <w:rFonts w:ascii="Arial" w:cs="Arial" w:eastAsia="Arial" w:hAnsi="Arial"/>
          <w:sz w:val="20"/>
          <w:szCs w:val="20"/>
        </w:rPr>
        <w:t xml:space="preserve">ran end to end on command-exists with Claude and confirmed 1 of 4 candidate findings with a reproducing input, in 21 steps.</w:t>
      </w:r>
    </w:p>
    <w:p>
      <w:pPr>
        <w:pStyle w:val="ListParagraph"/>
        <w:numPr>
          <w:ilvl w:val="0"/>
          <w:numId w:val="2"/>
        </w:numPr>
        <w:spacing w:after="60" w:line="262"/>
      </w:pPr>
      <w:r>
        <w:rPr>
          <w:rFonts w:ascii="Arial" w:cs="Arial" w:eastAsia="Arial" w:hAnsi="Arial"/>
          <w:b/>
          <w:bCs/>
          <w:sz w:val="20"/>
          <w:szCs w:val="20"/>
        </w:rPr>
        <w:t xml:space="preserve">Comparison on 12 cases (54 candidate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50"/>
        <w:gridCol w:w="1500"/>
        <w:gridCol w:w="1300"/>
        <w:gridCol w:w="2776"/>
      </w:tblGrid>
      <w:tr>
        <w:trPr>
          <w:tblHeader/>
        </w:trPr>
        <w:tc>
          <w:tcPr>
            <w:tcW w:type="dxa" w:w="1700"/>
            <w:shd w:fill="D9E2F3" w:color="auto" w:val="clear"/>
            <w:tcMar>
              <w:top w:type="dxa" w:w="50"/>
              <w:left w:type="dxa" w:w="90"/>
              <w:bottom w:type="dxa" w:w="50"/>
              <w:right w:type="dxa" w:w="90"/>
            </w:tcMar>
          </w:tcPr>
          <w:p>
            <w:r>
              <w:rPr>
                <w:rFonts w:ascii="Arial" w:cs="Arial" w:eastAsia="Arial" w:hAnsi="Arial"/>
                <w:b/>
                <w:bCs/>
                <w:sz w:val="19"/>
                <w:szCs w:val="19"/>
              </w:rPr>
              <w:t xml:space="preserve">Model</w:t>
            </w:r>
          </w:p>
        </w:tc>
        <w:tc>
          <w:tcPr>
            <w:tcW w:type="dxa" w:w="1750"/>
            <w:shd w:fill="D9E2F3" w:color="auto" w:val="clear"/>
            <w:tcMar>
              <w:top w:type="dxa" w:w="50"/>
              <w:left w:type="dxa" w:w="90"/>
              <w:bottom w:type="dxa" w:w="50"/>
              <w:right w:type="dxa" w:w="90"/>
            </w:tcMar>
          </w:tcPr>
          <w:p>
            <w:r>
              <w:rPr>
                <w:rFonts w:ascii="Arial" w:cs="Arial" w:eastAsia="Arial" w:hAnsi="Arial"/>
                <w:b/>
                <w:bCs/>
                <w:sz w:val="19"/>
                <w:szCs w:val="19"/>
              </w:rPr>
              <w:t xml:space="preserve">Reached function</w:t>
            </w:r>
          </w:p>
        </w:tc>
        <w:tc>
          <w:tcPr>
            <w:tcW w:type="dxa" w:w="1500"/>
            <w:shd w:fill="D9E2F3" w:color="auto" w:val="clear"/>
            <w:tcMar>
              <w:top w:type="dxa" w:w="50"/>
              <w:left w:type="dxa" w:w="90"/>
              <w:bottom w:type="dxa" w:w="50"/>
              <w:right w:type="dxa" w:w="90"/>
            </w:tcMar>
          </w:tcPr>
          <w:p>
            <w:r>
              <w:rPr>
                <w:rFonts w:ascii="Arial" w:cs="Arial" w:eastAsia="Arial" w:hAnsi="Arial"/>
                <w:b/>
                <w:bCs/>
                <w:sz w:val="19"/>
                <w:szCs w:val="19"/>
              </w:rPr>
              <w:t xml:space="preserve">Confirmed</w:t>
            </w:r>
          </w:p>
        </w:tc>
        <w:tc>
          <w:tcPr>
            <w:tcW w:type="dxa" w:w="1300"/>
            <w:shd w:fill="D9E2F3" w:color="auto" w:val="clear"/>
            <w:tcMar>
              <w:top w:type="dxa" w:w="50"/>
              <w:left w:type="dxa" w:w="90"/>
              <w:bottom w:type="dxa" w:w="50"/>
              <w:right w:type="dxa" w:w="90"/>
            </w:tcMar>
          </w:tcPr>
          <w:p>
            <w:r>
              <w:rPr>
                <w:rFonts w:ascii="Arial" w:cs="Arial" w:eastAsia="Arial" w:hAnsi="Arial"/>
                <w:b/>
                <w:bCs/>
                <w:sz w:val="19"/>
                <w:szCs w:val="19"/>
              </w:rPr>
              <w:t xml:space="preserve">Tokens</w:t>
            </w:r>
          </w:p>
        </w:tc>
        <w:tc>
          <w:tcPr>
            <w:tcW w:type="dxa" w:w="2776"/>
            <w:shd w:fill="D9E2F3" w:color="auto" w:val="clear"/>
            <w:tcMar>
              <w:top w:type="dxa" w:w="50"/>
              <w:left w:type="dxa" w:w="90"/>
              <w:bottom w:type="dxa" w:w="50"/>
              <w:right w:type="dxa" w:w="90"/>
            </w:tcMar>
          </w:tcPr>
          <w:p>
            <w:r>
              <w:rPr>
                <w:rFonts w:ascii="Arial" w:cs="Arial" w:eastAsia="Arial" w:hAnsi="Arial"/>
                <w:b/>
                <w:bCs/>
                <w:sz w:val="19"/>
                <w:szCs w:val="19"/>
              </w:rPr>
              <w:t xml:space="preserve">Cost</w:t>
            </w:r>
          </w:p>
        </w:tc>
      </w:tr>
      <w:tr>
        <w:tc>
          <w:tcPr>
            <w:tcW w:type="dxa" w:w="1700"/>
            <w:tcMar>
              <w:top w:type="dxa" w:w="50"/>
              <w:left w:type="dxa" w:w="90"/>
              <w:bottom w:type="dxa" w:w="50"/>
              <w:right w:type="dxa" w:w="90"/>
            </w:tcMar>
          </w:tcPr>
          <w:p>
            <w:r>
              <w:rPr>
                <w:rFonts w:ascii="Arial" w:cs="Arial" w:eastAsia="Arial" w:hAnsi="Arial"/>
                <w:b w:val="false"/>
                <w:bCs w:val="false"/>
                <w:sz w:val="19"/>
                <w:szCs w:val="19"/>
              </w:rPr>
              <w:t xml:space="preserve">Local 3B</w:t>
            </w:r>
          </w:p>
        </w:tc>
        <w:tc>
          <w:tcPr>
            <w:tcW w:type="dxa" w:w="1750"/>
            <w:tcMar>
              <w:top w:type="dxa" w:w="50"/>
              <w:left w:type="dxa" w:w="90"/>
              <w:bottom w:type="dxa" w:w="50"/>
              <w:right w:type="dxa" w:w="90"/>
            </w:tcMar>
          </w:tcPr>
          <w:p>
            <w:r>
              <w:rPr>
                <w:rFonts w:ascii="Arial" w:cs="Arial" w:eastAsia="Arial" w:hAnsi="Arial"/>
                <w:b w:val="false"/>
                <w:bCs w:val="false"/>
                <w:sz w:val="19"/>
                <w:szCs w:val="19"/>
              </w:rPr>
              <w:t xml:space="preserve">13 (24%)</w:t>
            </w:r>
          </w:p>
        </w:tc>
        <w:tc>
          <w:tcPr>
            <w:tcW w:type="dxa" w:w="1500"/>
            <w:tcMar>
              <w:top w:type="dxa" w:w="50"/>
              <w:left w:type="dxa" w:w="90"/>
              <w:bottom w:type="dxa" w:w="50"/>
              <w:right w:type="dxa" w:w="90"/>
            </w:tcMar>
          </w:tcPr>
          <w:p>
            <w:r>
              <w:rPr>
                <w:rFonts w:ascii="Arial" w:cs="Arial" w:eastAsia="Arial" w:hAnsi="Arial"/>
                <w:b w:val="false"/>
                <w:bCs w:val="false"/>
                <w:sz w:val="19"/>
                <w:szCs w:val="19"/>
              </w:rPr>
              <w:t xml:space="preserve">6 (11%)</w:t>
            </w:r>
          </w:p>
        </w:tc>
        <w:tc>
          <w:tcPr>
            <w:tcW w:type="dxa" w:w="1300"/>
            <w:tcMar>
              <w:top w:type="dxa" w:w="50"/>
              <w:left w:type="dxa" w:w="90"/>
              <w:bottom w:type="dxa" w:w="50"/>
              <w:right w:type="dxa" w:w="90"/>
            </w:tcMar>
          </w:tcPr>
          <w:p>
            <w:r>
              <w:rPr>
                <w:rFonts w:ascii="Arial" w:cs="Arial" w:eastAsia="Arial" w:hAnsi="Arial"/>
                <w:b w:val="false"/>
                <w:bCs w:val="false"/>
                <w:sz w:val="19"/>
                <w:szCs w:val="19"/>
              </w:rPr>
              <w:t xml:space="preserve">330K</w:t>
            </w:r>
          </w:p>
        </w:tc>
        <w:tc>
          <w:tcPr>
            <w:tcW w:type="dxa" w:w="2776"/>
            <w:tcMar>
              <w:top w:type="dxa" w:w="50"/>
              <w:left w:type="dxa" w:w="90"/>
              <w:bottom w:type="dxa" w:w="50"/>
              <w:right w:type="dxa" w:w="90"/>
            </w:tcMar>
          </w:tcPr>
          <w:p>
            <w:r>
              <w:rPr>
                <w:rFonts w:ascii="Arial" w:cs="Arial" w:eastAsia="Arial" w:hAnsi="Arial"/>
                <w:b w:val="false"/>
                <w:bCs w:val="false"/>
                <w:sz w:val="19"/>
                <w:szCs w:val="19"/>
              </w:rPr>
              <w:t xml:space="preserve">$0 (runs on the laptop)</w:t>
            </w:r>
          </w:p>
        </w:tc>
      </w:tr>
      <w:tr>
        <w:tc>
          <w:tcPr>
            <w:tcW w:type="dxa" w:w="1700"/>
            <w:tcMar>
              <w:top w:type="dxa" w:w="50"/>
              <w:left w:type="dxa" w:w="90"/>
              <w:bottom w:type="dxa" w:w="50"/>
              <w:right w:type="dxa" w:w="90"/>
            </w:tcMar>
          </w:tcPr>
          <w:p>
            <w:r>
              <w:rPr>
                <w:rFonts w:ascii="Arial" w:cs="Arial" w:eastAsia="Arial" w:hAnsi="Arial"/>
                <w:b w:val="false"/>
                <w:bCs w:val="false"/>
                <w:sz w:val="19"/>
                <w:szCs w:val="19"/>
              </w:rPr>
              <w:t xml:space="preserve">Claude</w:t>
            </w:r>
          </w:p>
        </w:tc>
        <w:tc>
          <w:tcPr>
            <w:tcW w:type="dxa" w:w="1750"/>
            <w:tcMar>
              <w:top w:type="dxa" w:w="50"/>
              <w:left w:type="dxa" w:w="90"/>
              <w:bottom w:type="dxa" w:w="50"/>
              <w:right w:type="dxa" w:w="90"/>
            </w:tcMar>
          </w:tcPr>
          <w:p>
            <w:r>
              <w:rPr>
                <w:rFonts w:ascii="Arial" w:cs="Arial" w:eastAsia="Arial" w:hAnsi="Arial"/>
                <w:b w:val="false"/>
                <w:bCs w:val="false"/>
                <w:sz w:val="19"/>
                <w:szCs w:val="19"/>
              </w:rPr>
              <w:t xml:space="preserve">17 (31%)</w:t>
            </w:r>
          </w:p>
        </w:tc>
        <w:tc>
          <w:tcPr>
            <w:tcW w:type="dxa" w:w="1500"/>
            <w:tcMar>
              <w:top w:type="dxa" w:w="50"/>
              <w:left w:type="dxa" w:w="90"/>
              <w:bottom w:type="dxa" w:w="50"/>
              <w:right w:type="dxa" w:w="90"/>
            </w:tcMar>
          </w:tcPr>
          <w:p>
            <w:r>
              <w:rPr>
                <w:rFonts w:ascii="Arial" w:cs="Arial" w:eastAsia="Arial" w:hAnsi="Arial"/>
                <w:b w:val="false"/>
                <w:bCs w:val="false"/>
                <w:sz w:val="19"/>
                <w:szCs w:val="19"/>
              </w:rPr>
              <w:t xml:space="preserve">12 (22%)</w:t>
            </w:r>
          </w:p>
        </w:tc>
        <w:tc>
          <w:tcPr>
            <w:tcW w:type="dxa" w:w="1300"/>
            <w:tcMar>
              <w:top w:type="dxa" w:w="50"/>
              <w:left w:type="dxa" w:w="90"/>
              <w:bottom w:type="dxa" w:w="50"/>
              <w:right w:type="dxa" w:w="90"/>
            </w:tcMar>
          </w:tcPr>
          <w:p>
            <w:r>
              <w:rPr>
                <w:rFonts w:ascii="Arial" w:cs="Arial" w:eastAsia="Arial" w:hAnsi="Arial"/>
                <w:b w:val="false"/>
                <w:bCs w:val="false"/>
                <w:sz w:val="19"/>
                <w:szCs w:val="19"/>
              </w:rPr>
              <w:t xml:space="preserve">1.12M</w:t>
            </w:r>
          </w:p>
        </w:tc>
        <w:tc>
          <w:tcPr>
            <w:tcW w:type="dxa" w:w="2776"/>
            <w:tcMar>
              <w:top w:type="dxa" w:w="50"/>
              <w:left w:type="dxa" w:w="90"/>
              <w:bottom w:type="dxa" w:w="50"/>
              <w:right w:type="dxa" w:w="90"/>
            </w:tcMar>
          </w:tcPr>
          <w:p>
            <w:r>
              <w:rPr>
                <w:rFonts w:ascii="Arial" w:cs="Arial" w:eastAsia="Arial" w:hAnsi="Arial"/>
                <w:b w:val="false"/>
                <w:bCs w:val="false"/>
                <w:sz w:val="19"/>
                <w:szCs w:val="19"/>
              </w:rPr>
              <w:t xml:space="preserve">≈ $7.05</w:t>
            </w:r>
          </w:p>
        </w:tc>
      </w:tr>
    </w:tbl>
    <w:p>
      <w:pPr>
        <w:spacing w:after="80" w:before="60" w:line="260"/>
      </w:pPr>
      <w:r>
        <w:rPr>
          <w:rFonts w:ascii="Arial" w:cs="Arial" w:eastAsia="Arial" w:hAnsi="Arial"/>
          <w:color w:val="595959"/>
          <w:sz w:val="18"/>
          <w:szCs w:val="18"/>
        </w:rPr>
        <w:t xml:space="preserve">Claude’s cost uses Anthropic’s list price for Claude Sonnet 5 ($2 per million input tokens, $10 per million output tokens); the CodeCraft gateway we used may charge differently. Most of it is output (601K tokens), because the model reasons before answering. The local model’s 330K tokens are 291K of prompt and 40K of generated harness code.</w:t>
      </w:r>
    </w:p>
    <w:p>
      <w:pPr>
        <w:spacing w:after="80" w:line="262"/>
      </w:pPr>
      <w:r>
        <w:rPr>
          <w:rFonts w:ascii="Arial" w:cs="Arial" w:eastAsia="Arial" w:hAnsi="Arial"/>
          <w:sz w:val="20"/>
          <w:szCs w:val="20"/>
        </w:rPr>
        <w:t xml:space="preserve">The local model uses about a quarter of the tokens at no cost but confirms roughly half as many vulnerabilities. Where both models reached the function and only Claude confirmed the bug, the local harness called the function correctly but did not prepare the environment: Claude stubbed out the checks that stop execution before the vulnerable line (for example, making fs.existsSync always return true), while the local harness stayed blocked and its coverage never grew. The small model has learned the shape of a harness, but not yet how to neutralize preconditions.</w:t>
      </w:r>
    </w:p>
    <w:p>
      <w:pPr>
        <w:spacing w:after="80" w:before="60" w:line="260"/>
      </w:pPr>
      <w:r>
        <w:rPr>
          <w:rFonts w:ascii="Arial" w:cs="Arial" w:eastAsia="Arial" w:hAnsi="Arial"/>
          <w:color w:val="595959"/>
          <w:sz w:val="18"/>
          <w:szCs w:val="18"/>
        </w:rPr>
        <w:t xml:space="preserve">Caveat: these numbers are preliminary. They use the v1 prompt, and Claude’s figures are understated by the empty-reply problem fixed in week 5.</w:t>
      </w:r>
    </w:p>
    <w:p>
      <w:pPr>
        <w:pStyle w:val="Heading1"/>
        <w:spacing w:after="60" w:before="130"/>
      </w:pPr>
      <w:r>
        <w:rPr>
          <w:rFonts w:ascii="Arial" w:cs="Arial" w:eastAsia="Arial" w:hAnsi="Arial"/>
          <w:b/>
          <w:bCs/>
          <w:color w:val="1F3864"/>
          <w:sz w:val="26"/>
          <w:szCs w:val="26"/>
        </w:rPr>
        <w:t xml:space="preserve">Challenges</w:t>
      </w:r>
    </w:p>
    <w:p>
      <w:pPr>
        <w:pStyle w:val="ListParagraph"/>
        <w:numPr>
          <w:ilvl w:val="0"/>
          <w:numId w:val="2"/>
        </w:numPr>
        <w:spacing w:after="60" w:line="262"/>
      </w:pPr>
      <w:r>
        <w:rPr>
          <w:rFonts w:ascii="Arial" w:cs="Arial" w:eastAsia="Arial" w:hAnsi="Arial"/>
          <w:b/>
          <w:bCs/>
          <w:sz w:val="20"/>
          <w:szCs w:val="20"/>
        </w:rPr>
        <w:t xml:space="preserve">Reaching the vulnerable line: </w:t>
      </w:r>
      <w:r>
        <w:rPr>
          <w:rFonts w:ascii="Arial" w:cs="Arial" w:eastAsia="Arial" w:hAnsi="Arial"/>
          <w:sz w:val="20"/>
          <w:szCs w:val="20"/>
        </w:rPr>
        <w:t xml:space="preserve">calling the right function is not enough: real code checks its inputs, files or environment before the dangerous call, and the harness must satisfy or stub out those checks. The small model falls short here.</w:t>
      </w:r>
    </w:p>
    <w:p>
      <w:pPr>
        <w:pStyle w:val="ListParagraph"/>
        <w:numPr>
          <w:ilvl w:val="0"/>
          <w:numId w:val="2"/>
        </w:numPr>
        <w:spacing w:after="60" w:line="262"/>
      </w:pPr>
      <w:r>
        <w:rPr>
          <w:rFonts w:ascii="Arial" w:cs="Arial" w:eastAsia="Arial" w:hAnsi="Arial"/>
          <w:b/>
          <w:bCs/>
          <w:sz w:val="20"/>
          <w:szCs w:val="20"/>
        </w:rPr>
        <w:t xml:space="preserve">“Reached” is weaker than it sounds: </w:t>
      </w:r>
      <w:r>
        <w:rPr>
          <w:rFonts w:ascii="Arial" w:cs="Arial" w:eastAsia="Arial" w:hAnsi="Arial"/>
          <w:sz w:val="20"/>
          <w:szCs w:val="20"/>
        </w:rPr>
        <w:t xml:space="preserve">our metric records that the target function ran, not that the vulnerable line ran. A harness can count as reached and still be blocked by an early check, so we need a sink-level metric.</w:t>
      </w:r>
    </w:p>
    <w:p>
      <w:pPr>
        <w:pStyle w:val="ListParagraph"/>
        <w:numPr>
          <w:ilvl w:val="0"/>
          <w:numId w:val="2"/>
        </w:numPr>
        <w:spacing w:after="60" w:line="262"/>
      </w:pPr>
      <w:r>
        <w:rPr>
          <w:rFonts w:ascii="Arial" w:cs="Arial" w:eastAsia="Arial" w:hAnsi="Arial"/>
          <w:b/>
          <w:bCs/>
          <w:sz w:val="20"/>
          <w:szCs w:val="20"/>
        </w:rPr>
        <w:t xml:space="preserve">Little training data: </w:t>
      </w:r>
      <w:r>
        <w:rPr>
          <w:rFonts w:ascii="Arial" w:cs="Arial" w:eastAsia="Arial" w:hAnsi="Arial"/>
          <w:sz w:val="20"/>
          <w:szCs w:val="20"/>
        </w:rPr>
        <w:t xml:space="preserve">only 97 of 150 distilled harnesses actually proved a vulnerability, which leaves 27–38 examples per vulnerability class. Every new example costs API tokens and sandbox time.</w:t>
      </w:r>
    </w:p>
    <w:p>
      <w:pPr>
        <w:pStyle w:val="ListParagraph"/>
        <w:numPr>
          <w:ilvl w:val="0"/>
          <w:numId w:val="2"/>
        </w:numPr>
        <w:spacing w:after="60" w:line="262"/>
      </w:pPr>
      <w:r>
        <w:rPr>
          <w:rFonts w:ascii="Arial" w:cs="Arial" w:eastAsia="Arial" w:hAnsi="Arial"/>
          <w:b/>
          <w:bCs/>
          <w:sz w:val="20"/>
          <w:szCs w:val="20"/>
        </w:rPr>
        <w:t xml:space="preserve">Hardware limits: </w:t>
      </w:r>
      <w:r>
        <w:rPr>
          <w:rFonts w:ascii="Arial" w:cs="Arial" w:eastAsia="Arial" w:hAnsi="Arial"/>
          <w:sz w:val="20"/>
          <w:szCs w:val="20"/>
        </w:rPr>
        <w:t xml:space="preserve">the tool should run privately on an ordinary laptop with 6 GB of GPU memory. The 7B fits only at the limit (5.9 GB), and training anything beyond 3B needs a cloud GPU.</w:t>
      </w:r>
    </w:p>
    <w:p>
      <w:pPr>
        <w:pStyle w:val="ListParagraph"/>
        <w:numPr>
          <w:ilvl w:val="0"/>
          <w:numId w:val="2"/>
        </w:numPr>
        <w:spacing w:after="60" w:line="262"/>
      </w:pPr>
      <w:r>
        <w:rPr>
          <w:rFonts w:ascii="Arial" w:cs="Arial" w:eastAsia="Arial" w:hAnsi="Arial"/>
          <w:b/>
          <w:bCs/>
          <w:sz w:val="20"/>
          <w:szCs w:val="20"/>
        </w:rPr>
        <w:t xml:space="preserve">A reliable teacher and a fair baseline: </w:t>
      </w:r>
      <w:r>
        <w:rPr>
          <w:rFonts w:ascii="Arial" w:cs="Arial" w:eastAsia="Arial" w:hAnsi="Arial"/>
          <w:sz w:val="20"/>
          <w:szCs w:val="20"/>
        </w:rPr>
        <w:t xml:space="preserve">Claude’s empty replies weakened both the training data and the baseline numbers, and changing the prompt between runs makes older results incomparable. Every comparison has to be rerun under the same prompt and settings.</w:t>
      </w:r>
    </w:p>
    <w:p>
      <w:pPr>
        <w:pStyle w:val="ListParagraph"/>
        <w:numPr>
          <w:ilvl w:val="0"/>
          <w:numId w:val="2"/>
        </w:numPr>
        <w:spacing w:after="60" w:line="262"/>
      </w:pPr>
      <w:r>
        <w:rPr>
          <w:rFonts w:ascii="Arial" w:cs="Arial" w:eastAsia="Arial" w:hAnsi="Arial"/>
          <w:b/>
          <w:bCs/>
          <w:sz w:val="20"/>
          <w:szCs w:val="20"/>
        </w:rPr>
        <w:t xml:space="preserve">Too many candidates: </w:t>
      </w:r>
      <w:r>
        <w:rPr>
          <w:rFonts w:ascii="Arial" w:cs="Arial" w:eastAsia="Arial" w:hAnsi="Arial"/>
          <w:sz w:val="20"/>
          <w:szCs w:val="20"/>
        </w:rPr>
        <w:t xml:space="preserve">SAST raises about 8 false alarms per case, and each one costs a harness, a probe and a fuzzing run.</w:t>
      </w:r>
    </w:p>
    <w:p>
      <w:pPr>
        <w:pStyle w:val="Heading1"/>
        <w:spacing w:after="60" w:before="130"/>
      </w:pPr>
      <w:r>
        <w:rPr>
          <w:rFonts w:ascii="Arial" w:cs="Arial" w:eastAsia="Arial" w:hAnsi="Arial"/>
          <w:b/>
          <w:bCs/>
          <w:color w:val="1F3864"/>
          <w:sz w:val="26"/>
          <w:szCs w:val="26"/>
        </w:rPr>
        <w:t xml:space="preserve">Next step</w:t>
      </w:r>
    </w:p>
    <w:p>
      <w:pPr>
        <w:pStyle w:val="ListParagraph"/>
        <w:numPr>
          <w:ilvl w:val="0"/>
          <w:numId w:val="2"/>
        </w:numPr>
        <w:spacing w:after="60" w:line="262"/>
      </w:pPr>
      <w:r>
        <w:rPr>
          <w:rFonts w:ascii="Arial" w:cs="Arial" w:eastAsia="Arial" w:hAnsi="Arial"/>
          <w:sz w:val="20"/>
          <w:szCs w:val="20"/>
        </w:rPr>
        <w:t xml:space="preserve">A fair comparison of the 3B, the 7B and Claude on 32 cases, with the same data, prompt and settings.</w:t>
      </w:r>
    </w:p>
    <w:p>
      <w:pPr>
        <w:pStyle w:val="ListParagraph"/>
        <w:numPr>
          <w:ilvl w:val="0"/>
          <w:numId w:val="2"/>
        </w:numPr>
        <w:spacing w:after="60" w:line="262"/>
      </w:pPr>
      <w:r>
        <w:rPr>
          <w:rFonts w:ascii="Arial" w:cs="Arial" w:eastAsia="Arial" w:hAnsi="Arial"/>
          <w:sz w:val="20"/>
          <w:szCs w:val="20"/>
        </w:rPr>
        <w:t xml:space="preserve">Training examples that teach the model to disable preconditions, plus a sink-level “reached” metric.</w:t>
      </w:r>
    </w:p>
    <w:sectPr>
      <w:pgSz w:w="11906" w:h="16838" w:orient="portrait"/>
      <w:pgMar w:top="1000" w:right="1150" w:bottom="1000" w:left="11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ProofHound — Term 1 Summary (Weeks 1–5)</dc:title>
  <dc:creator>ProofHound</dc:creator>
  <cp:lastModifiedBy>Un-named</cp:lastModifiedBy>
  <cp:revision>1</cp:revision>
  <dcterms:created xsi:type="dcterms:W3CDTF">2026-10-20T18:26:16.550Z</dcterms:created>
  <dcterms:modified xsi:type="dcterms:W3CDTF">2026-10-20T18:26:16.551Z</dcterms:modified>
</cp:coreProperties>
</file>

<file path=docProps/custom.xml><?xml version="1.0" encoding="utf-8"?>
<Properties xmlns="http://schemas.openxmlformats.org/officeDocument/2006/custom-properties" xmlns:vt="http://schemas.openxmlformats.org/officeDocument/2006/docPropsVTypes"/>
</file>