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570AC" w14:textId="77777777" w:rsidR="00175ED0" w:rsidRPr="00175ED0" w:rsidRDefault="00175ED0" w:rsidP="00175ED0">
      <w:r w:rsidRPr="00175ED0">
        <w:t>YOLO26 se distingue des autres versions de YOLO par une solution très intéressante : celle du </w:t>
      </w:r>
      <w:r w:rsidRPr="00175ED0">
        <w:rPr>
          <w:b/>
          <w:bCs/>
        </w:rPr>
        <w:t>Free NMS</w:t>
      </w:r>
      <w:r w:rsidRPr="00175ED0">
        <w:t>. Concrètement, son architecture repose sur </w:t>
      </w:r>
      <w:r w:rsidRPr="00175ED0">
        <w:rPr>
          <w:b/>
          <w:bCs/>
        </w:rPr>
        <w:t>deux têtes de détection</w:t>
      </w:r>
      <w:r w:rsidRPr="00175ED0">
        <w:t> qui partagent le même backbone et le même neck, mais avec deux sorties différentes.</w:t>
      </w:r>
    </w:p>
    <w:p w14:paraId="56D04622" w14:textId="77777777" w:rsidR="00175ED0" w:rsidRPr="00175ED0" w:rsidRDefault="00175ED0" w:rsidP="00175ED0">
      <w:pPr>
        <w:numPr>
          <w:ilvl w:val="0"/>
          <w:numId w:val="1"/>
        </w:numPr>
      </w:pPr>
      <w:r w:rsidRPr="00175ED0">
        <w:t>La première tête, appelée </w:t>
      </w:r>
      <w:r w:rsidRPr="00175ED0">
        <w:rPr>
          <w:b/>
          <w:bCs/>
        </w:rPr>
        <w:t>O2M (one</w:t>
      </w:r>
      <w:r w:rsidRPr="00175ED0">
        <w:rPr>
          <w:b/>
          <w:bCs/>
        </w:rPr>
        <w:noBreakHyphen/>
        <w:t>to</w:t>
      </w:r>
      <w:r w:rsidRPr="00175ED0">
        <w:rPr>
          <w:b/>
          <w:bCs/>
        </w:rPr>
        <w:noBreakHyphen/>
      </w:r>
      <w:proofErr w:type="spellStart"/>
      <w:r w:rsidRPr="00175ED0">
        <w:rPr>
          <w:b/>
          <w:bCs/>
        </w:rPr>
        <w:t>many</w:t>
      </w:r>
      <w:proofErr w:type="spellEnd"/>
      <w:proofErr w:type="gramStart"/>
      <w:r w:rsidRPr="00175ED0">
        <w:rPr>
          <w:b/>
          <w:bCs/>
        </w:rPr>
        <w:t>)</w:t>
      </w:r>
      <w:r w:rsidRPr="00175ED0">
        <w:t> ,</w:t>
      </w:r>
      <w:proofErr w:type="gramEnd"/>
      <w:r w:rsidRPr="00175ED0">
        <w:t xml:space="preserve"> est la tête standard des YOLO classiques. Elle prédit de nombreuses boîtes englobantes pour un même objet, et pour obtenir la meilleure prédiction, on utilise ensuite la NMS (Non</w:t>
      </w:r>
      <w:r w:rsidRPr="00175ED0">
        <w:noBreakHyphen/>
        <w:t>Maximum Suppression) avec différentes métriques (</w:t>
      </w:r>
      <w:proofErr w:type="spellStart"/>
      <w:r w:rsidRPr="00175ED0">
        <w:t>IoU</w:t>
      </w:r>
      <w:proofErr w:type="spellEnd"/>
      <w:r w:rsidRPr="00175ED0">
        <w:t>, distance, etc.). Cela rend le processus plus lent.</w:t>
      </w:r>
    </w:p>
    <w:p w14:paraId="0F1F6EE1" w14:textId="77777777" w:rsidR="00175ED0" w:rsidRPr="00175ED0" w:rsidRDefault="00175ED0" w:rsidP="00175ED0">
      <w:pPr>
        <w:numPr>
          <w:ilvl w:val="0"/>
          <w:numId w:val="1"/>
        </w:numPr>
      </w:pPr>
      <w:r w:rsidRPr="00175ED0">
        <w:t>La deuxième tête, </w:t>
      </w:r>
      <w:r w:rsidRPr="00175ED0">
        <w:rPr>
          <w:b/>
          <w:bCs/>
        </w:rPr>
        <w:t>O2O (one</w:t>
      </w:r>
      <w:r w:rsidRPr="00175ED0">
        <w:rPr>
          <w:b/>
          <w:bCs/>
        </w:rPr>
        <w:noBreakHyphen/>
        <w:t>to</w:t>
      </w:r>
      <w:r w:rsidRPr="00175ED0">
        <w:rPr>
          <w:b/>
          <w:bCs/>
        </w:rPr>
        <w:noBreakHyphen/>
        <w:t>one</w:t>
      </w:r>
      <w:proofErr w:type="gramStart"/>
      <w:r w:rsidRPr="00175ED0">
        <w:rPr>
          <w:b/>
          <w:bCs/>
        </w:rPr>
        <w:t>)</w:t>
      </w:r>
      <w:r w:rsidRPr="00175ED0">
        <w:t> ,</w:t>
      </w:r>
      <w:proofErr w:type="gramEnd"/>
      <w:r w:rsidRPr="00175ED0">
        <w:t xml:space="preserve"> est quant à elle forcée à ne prédire qu’une seule boîte par objet. Par conséquent, elle n’a pas besoin de NMS, ce qui est plus rapide. Mais seule, elle manquerait de précision.</w:t>
      </w:r>
    </w:p>
    <w:p w14:paraId="43ED7020" w14:textId="77777777" w:rsidR="00175ED0" w:rsidRPr="00175ED0" w:rsidRDefault="00175ED0" w:rsidP="00175ED0">
      <w:r w:rsidRPr="00175ED0">
        <w:t>C’est pourquoi, </w:t>
      </w:r>
      <w:r w:rsidRPr="00175ED0">
        <w:rPr>
          <w:b/>
          <w:bCs/>
        </w:rPr>
        <w:t>pendant l’entraînement</w:t>
      </w:r>
      <w:r w:rsidRPr="00175ED0">
        <w:t>, on utilise les deux têtes simultanément avec les mêmes hyperparamètres d’appariement (CMM, </w:t>
      </w:r>
      <w:r w:rsidRPr="00175ED0">
        <w:rPr>
          <w:i/>
          <w:iCs/>
        </w:rPr>
        <w:t xml:space="preserve">Consistent Matching </w:t>
      </w:r>
      <w:proofErr w:type="spellStart"/>
      <w:r w:rsidRPr="00175ED0">
        <w:rPr>
          <w:i/>
          <w:iCs/>
        </w:rPr>
        <w:t>Metrics</w:t>
      </w:r>
      <w:proofErr w:type="spellEnd"/>
      <w:r w:rsidRPr="00175ED0">
        <w:t>) et une </w:t>
      </w:r>
      <w:r w:rsidRPr="00175ED0">
        <w:rPr>
          <w:b/>
          <w:bCs/>
        </w:rPr>
        <w:t>perte combinée</w:t>
      </w:r>
      <w:r w:rsidRPr="00175ED0">
        <w:t>. La tête O2M, plus précise car elle explore plusieurs possibilités, joue le rôle de </w:t>
      </w:r>
      <w:r w:rsidRPr="00175ED0">
        <w:rPr>
          <w:b/>
          <w:bCs/>
        </w:rPr>
        <w:t>professeur</w:t>
      </w:r>
      <w:r w:rsidRPr="00175ED0">
        <w:t>. La tête O2O, l’</w:t>
      </w:r>
      <w:r w:rsidRPr="00175ED0">
        <w:rPr>
          <w:b/>
          <w:bCs/>
        </w:rPr>
        <w:t>élève</w:t>
      </w:r>
      <w:r w:rsidRPr="00175ED0">
        <w:t>, apprend à imiter la meilleure boîte proposée par le professeur. Une fois l’entraînement terminé, on supprime la tête O2M et on ne garde que la tête O2O pour l’inférence, obtenant ainsi le </w:t>
      </w:r>
      <w:r w:rsidRPr="00175ED0">
        <w:rPr>
          <w:b/>
          <w:bCs/>
        </w:rPr>
        <w:t>Free NMS</w:t>
      </w:r>
      <w:r w:rsidRPr="00175ED0">
        <w:t>.</w:t>
      </w:r>
    </w:p>
    <w:p w14:paraId="06F352EC" w14:textId="77777777" w:rsidR="00175ED0" w:rsidRPr="00175ED0" w:rsidRDefault="00175ED0" w:rsidP="00175ED0">
      <w:r w:rsidRPr="00175ED0">
        <w:t>Cette architecture s’accompagne de </w:t>
      </w:r>
      <w:r w:rsidRPr="00175ED0">
        <w:rPr>
          <w:b/>
          <w:bCs/>
        </w:rPr>
        <w:t>quatre innovations majeures</w:t>
      </w:r>
      <w:r w:rsidRPr="00175ED0">
        <w:t> :</w:t>
      </w:r>
    </w:p>
    <w:p w14:paraId="3FC0CC4D" w14:textId="77777777" w:rsidR="00175ED0" w:rsidRPr="00175ED0" w:rsidRDefault="00175ED0" w:rsidP="00175ED0">
      <w:pPr>
        <w:numPr>
          <w:ilvl w:val="0"/>
          <w:numId w:val="2"/>
        </w:numPr>
      </w:pPr>
      <w:r w:rsidRPr="00175ED0">
        <w:rPr>
          <w:b/>
          <w:bCs/>
        </w:rPr>
        <w:t>Suppression du DFL (Distribution Focal Loss)</w:t>
      </w:r>
      <w:r w:rsidRPr="00175ED0">
        <w:t> – une fonction de perte utilisée auparavant pour affiner la localisation des boîtes. Sa suppression simplifie l’export du modèle et améliore la compatibilité avec la quantification.</w:t>
      </w:r>
    </w:p>
    <w:p w14:paraId="626A7206" w14:textId="77777777" w:rsidR="00175ED0" w:rsidRPr="00175ED0" w:rsidRDefault="00175ED0" w:rsidP="00175ED0">
      <w:pPr>
        <w:numPr>
          <w:ilvl w:val="0"/>
          <w:numId w:val="2"/>
        </w:numPr>
      </w:pPr>
      <w:proofErr w:type="spellStart"/>
      <w:r w:rsidRPr="00175ED0">
        <w:rPr>
          <w:b/>
          <w:bCs/>
        </w:rPr>
        <w:t>ProgLoss</w:t>
      </w:r>
      <w:proofErr w:type="spellEnd"/>
      <w:r w:rsidRPr="00175ED0">
        <w:t> – un ordonnancement dynamique des pertes en trois étapes :</w:t>
      </w:r>
    </w:p>
    <w:p w14:paraId="28A53808" w14:textId="77777777" w:rsidR="00175ED0" w:rsidRPr="00175ED0" w:rsidRDefault="00175ED0" w:rsidP="00175ED0">
      <w:pPr>
        <w:numPr>
          <w:ilvl w:val="1"/>
          <w:numId w:val="2"/>
        </w:numPr>
      </w:pPr>
      <w:r w:rsidRPr="00175ED0">
        <w:t>Début : le réseau apprend prioritairement les classes.</w:t>
      </w:r>
    </w:p>
    <w:p w14:paraId="65635B4D" w14:textId="77777777" w:rsidR="00175ED0" w:rsidRPr="00175ED0" w:rsidRDefault="00175ED0" w:rsidP="00175ED0">
      <w:pPr>
        <w:numPr>
          <w:ilvl w:val="1"/>
          <w:numId w:val="2"/>
        </w:numPr>
      </w:pPr>
      <w:r w:rsidRPr="00175ED0">
        <w:t>Milieu : transition progressive pour équilibrer classification et localisation.</w:t>
      </w:r>
    </w:p>
    <w:p w14:paraId="2FB2955B" w14:textId="77777777" w:rsidR="00175ED0" w:rsidRPr="00175ED0" w:rsidRDefault="00175ED0" w:rsidP="00175ED0">
      <w:pPr>
        <w:numPr>
          <w:ilvl w:val="1"/>
          <w:numId w:val="2"/>
        </w:numPr>
      </w:pPr>
      <w:r w:rsidRPr="00175ED0">
        <w:t>Fin : affinement de la localisation.</w:t>
      </w:r>
      <w:r w:rsidRPr="00175ED0">
        <w:br/>
        <w:t>Cela stabilise la convergence, en particulier pour les petits modèles (nano).</w:t>
      </w:r>
    </w:p>
    <w:p w14:paraId="71188B9D" w14:textId="77777777" w:rsidR="00175ED0" w:rsidRPr="00175ED0" w:rsidRDefault="00175ED0" w:rsidP="00175ED0">
      <w:pPr>
        <w:numPr>
          <w:ilvl w:val="0"/>
          <w:numId w:val="2"/>
        </w:numPr>
      </w:pPr>
      <w:r w:rsidRPr="00175ED0">
        <w:rPr>
          <w:b/>
          <w:bCs/>
        </w:rPr>
        <w:t>STAL (Small</w:t>
      </w:r>
      <w:r w:rsidRPr="00175ED0">
        <w:rPr>
          <w:b/>
          <w:bCs/>
        </w:rPr>
        <w:noBreakHyphen/>
        <w:t xml:space="preserve">Target </w:t>
      </w:r>
      <w:proofErr w:type="spellStart"/>
      <w:r w:rsidRPr="00175ED0">
        <w:rPr>
          <w:b/>
          <w:bCs/>
        </w:rPr>
        <w:t>Aware</w:t>
      </w:r>
      <w:proofErr w:type="spellEnd"/>
      <w:r w:rsidRPr="00175ED0">
        <w:rPr>
          <w:b/>
          <w:bCs/>
        </w:rPr>
        <w:t xml:space="preserve"> Label </w:t>
      </w:r>
      <w:proofErr w:type="spellStart"/>
      <w:r w:rsidRPr="00175ED0">
        <w:rPr>
          <w:b/>
          <w:bCs/>
        </w:rPr>
        <w:t>Assignment</w:t>
      </w:r>
      <w:proofErr w:type="spellEnd"/>
      <w:r w:rsidRPr="00175ED0">
        <w:rPr>
          <w:b/>
          <w:bCs/>
        </w:rPr>
        <w:t>)</w:t>
      </w:r>
      <w:r w:rsidRPr="00175ED0">
        <w:t> – une méthode d’assignation des étiquettes qui modifie le calcul du coût d’appariement pour mieux prendre en compte les petits objets. Elle ajuste la pondération entre les critères de classification et de localisation afin que les très petites cibles ne soient pas ignorées lors de l’attribution des boîtes positives.</w:t>
      </w:r>
    </w:p>
    <w:p w14:paraId="55B0F1C8" w14:textId="77777777" w:rsidR="00175ED0" w:rsidRPr="00175ED0" w:rsidRDefault="00175ED0" w:rsidP="00175ED0">
      <w:pPr>
        <w:numPr>
          <w:ilvl w:val="0"/>
          <w:numId w:val="2"/>
        </w:numPr>
      </w:pPr>
      <w:proofErr w:type="spellStart"/>
      <w:r w:rsidRPr="00175ED0">
        <w:rPr>
          <w:b/>
          <w:bCs/>
        </w:rPr>
        <w:t>MuSGD</w:t>
      </w:r>
      <w:proofErr w:type="spellEnd"/>
      <w:r w:rsidRPr="00175ED0">
        <w:t xml:space="preserve"> – un optimiseur hybride combinant SGD et Muon. Muon est un optimiseur récemment utilisé pour les grands modèles de langage, qui agit sur les mises à jour de poids avec un moment orthogonal. En fusionnant les deux, </w:t>
      </w:r>
      <w:proofErr w:type="spellStart"/>
      <w:r w:rsidRPr="00175ED0">
        <w:t>MuSGD</w:t>
      </w:r>
      <w:proofErr w:type="spellEnd"/>
      <w:r w:rsidRPr="00175ED0">
        <w:t xml:space="preserve"> bénéficie de la robustesse du SGD et de l’efficacité de Muon, ce qui accélère la convergence et améliore la stabilité de l’entraînement, surtout sur des modèles légers.</w:t>
      </w:r>
    </w:p>
    <w:p w14:paraId="34282F33" w14:textId="77777777" w:rsidR="00853380" w:rsidRDefault="00853380"/>
    <w:sectPr w:rsidR="008533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851B2"/>
    <w:multiLevelType w:val="multilevel"/>
    <w:tmpl w:val="B7B66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6752E8"/>
    <w:multiLevelType w:val="multilevel"/>
    <w:tmpl w:val="AA9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363323">
    <w:abstractNumId w:val="1"/>
  </w:num>
  <w:num w:numId="2" w16cid:durableId="1711145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997"/>
    <w:rsid w:val="000C6366"/>
    <w:rsid w:val="00175ED0"/>
    <w:rsid w:val="003C5C5B"/>
    <w:rsid w:val="005656D1"/>
    <w:rsid w:val="00853380"/>
    <w:rsid w:val="008D0A37"/>
    <w:rsid w:val="00A7299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DAF38E-76B4-46D8-A8A1-E7DABC493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9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29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29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29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29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2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9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29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29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29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29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2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997"/>
    <w:rPr>
      <w:rFonts w:eastAsiaTheme="majorEastAsia" w:cstheme="majorBidi"/>
      <w:color w:val="272727" w:themeColor="text1" w:themeTint="D8"/>
    </w:rPr>
  </w:style>
  <w:style w:type="paragraph" w:styleId="Title">
    <w:name w:val="Title"/>
    <w:basedOn w:val="Normal"/>
    <w:next w:val="Normal"/>
    <w:link w:val="TitleChar"/>
    <w:uiPriority w:val="10"/>
    <w:qFormat/>
    <w:rsid w:val="00A72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997"/>
    <w:pPr>
      <w:spacing w:before="160"/>
      <w:jc w:val="center"/>
    </w:pPr>
    <w:rPr>
      <w:i/>
      <w:iCs/>
      <w:color w:val="404040" w:themeColor="text1" w:themeTint="BF"/>
    </w:rPr>
  </w:style>
  <w:style w:type="character" w:customStyle="1" w:styleId="QuoteChar">
    <w:name w:val="Quote Char"/>
    <w:basedOn w:val="DefaultParagraphFont"/>
    <w:link w:val="Quote"/>
    <w:uiPriority w:val="29"/>
    <w:rsid w:val="00A72997"/>
    <w:rPr>
      <w:i/>
      <w:iCs/>
      <w:color w:val="404040" w:themeColor="text1" w:themeTint="BF"/>
    </w:rPr>
  </w:style>
  <w:style w:type="paragraph" w:styleId="ListParagraph">
    <w:name w:val="List Paragraph"/>
    <w:basedOn w:val="Normal"/>
    <w:uiPriority w:val="34"/>
    <w:qFormat/>
    <w:rsid w:val="00A72997"/>
    <w:pPr>
      <w:ind w:left="720"/>
      <w:contextualSpacing/>
    </w:pPr>
  </w:style>
  <w:style w:type="character" w:styleId="IntenseEmphasis">
    <w:name w:val="Intense Emphasis"/>
    <w:basedOn w:val="DefaultParagraphFont"/>
    <w:uiPriority w:val="21"/>
    <w:qFormat/>
    <w:rsid w:val="00A72997"/>
    <w:rPr>
      <w:i/>
      <w:iCs/>
      <w:color w:val="2F5496" w:themeColor="accent1" w:themeShade="BF"/>
    </w:rPr>
  </w:style>
  <w:style w:type="paragraph" w:styleId="IntenseQuote">
    <w:name w:val="Intense Quote"/>
    <w:basedOn w:val="Normal"/>
    <w:next w:val="Normal"/>
    <w:link w:val="IntenseQuoteChar"/>
    <w:uiPriority w:val="30"/>
    <w:qFormat/>
    <w:rsid w:val="00A729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2997"/>
    <w:rPr>
      <w:i/>
      <w:iCs/>
      <w:color w:val="2F5496" w:themeColor="accent1" w:themeShade="BF"/>
    </w:rPr>
  </w:style>
  <w:style w:type="character" w:styleId="IntenseReference">
    <w:name w:val="Intense Reference"/>
    <w:basedOn w:val="DefaultParagraphFont"/>
    <w:uiPriority w:val="32"/>
    <w:qFormat/>
    <w:rsid w:val="00A729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1244</TotalTime>
  <Pages>1</Pages>
  <Words>409</Words>
  <Characters>2254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Mouad Debien</dc:creator>
  <cp:keywords/>
  <dc:description/>
  <cp:lastModifiedBy>Mouad Debien</cp:lastModifiedBy>
  <cp:revision>3</cp:revision>
  <dcterms:created xsi:type="dcterms:W3CDTF">2026-03-25T14:27:00Z</dcterms:created>
  <dcterms:modified xsi:type="dcterms:W3CDTF">2026-03-26T11:11:00Z</dcterms:modified>
</cp:coreProperties>
</file>