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B56" w:rsidRDefault="003C3E49" w:rsidP="003C3E49">
      <w:pPr>
        <w:jc w:val="center"/>
        <w:rPr>
          <w:b/>
          <w:sz w:val="28"/>
        </w:rPr>
      </w:pPr>
      <w:r>
        <w:rPr>
          <w:b/>
          <w:noProof/>
          <w:sz w:val="28"/>
          <w:lang w:eastAsia="fr-FR"/>
        </w:rPr>
        <mc:AlternateContent>
          <mc:Choice Requires="wps">
            <w:drawing>
              <wp:anchor distT="0" distB="0" distL="114300" distR="114300" simplePos="0" relativeHeight="251659264" behindDoc="0" locked="0" layoutInCell="1" allowOverlap="1">
                <wp:simplePos x="0" y="0"/>
                <wp:positionH relativeFrom="column">
                  <wp:posOffset>719455</wp:posOffset>
                </wp:positionH>
                <wp:positionV relativeFrom="paragraph">
                  <wp:posOffset>-23495</wp:posOffset>
                </wp:positionV>
                <wp:extent cx="433387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333875" cy="3048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9BA84" id="Rectangle 1" o:spid="_x0000_s1026" style="position:absolute;margin-left:56.65pt;margin-top:-1.85pt;width:341.2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" filled="f" strokecolor="#1f4d78 [1604]" strokeweight="1.5pt"/>
            </w:pict>
          </mc:Fallback>
        </mc:AlternateContent>
      </w:r>
      <w:r>
        <w:rPr>
          <w:b/>
          <w:sz w:val="28"/>
        </w:rPr>
        <w:t>SECURITIES LENDING &amp; REPO : Mécanismes et arbitrages</w:t>
      </w:r>
    </w:p>
    <w:p w:rsidR="003C3E49" w:rsidRPr="003C3E49" w:rsidRDefault="003C3E49" w:rsidP="003C3E49">
      <w:pPr>
        <w:rPr>
          <w:b/>
          <w:sz w:val="24"/>
        </w:rPr>
      </w:pPr>
    </w:p>
    <w:p w:rsidR="003C3E49" w:rsidRDefault="003C3E49" w:rsidP="003C3E49">
      <w:pPr>
        <w:rPr>
          <w:b/>
          <w:color w:val="C00000"/>
          <w:lang w:val="en-US"/>
        </w:rPr>
      </w:pPr>
      <w:r w:rsidRPr="003C3E49">
        <w:rPr>
          <w:b/>
          <w:color w:val="C00000"/>
          <w:lang w:val="en-US"/>
        </w:rPr>
        <w:t xml:space="preserve">I. Le REPO (Repurchase agreement) </w:t>
      </w:r>
    </w:p>
    <w:p w:rsidR="003C3E49" w:rsidRDefault="003C3E49" w:rsidP="003C3E49">
      <w:r w:rsidRPr="003C3E49">
        <w:t>L’opération implique une vente à court terme de titre contre le transfert de cash, et simultanément un agrément du vendeur de titre de racheter les mêmes titres à une date déterminée.</w:t>
      </w:r>
    </w:p>
    <w:p w:rsidR="003C3E49" w:rsidRDefault="003C3E49" w:rsidP="003C3E49">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1967230</wp:posOffset>
                </wp:positionH>
                <wp:positionV relativeFrom="paragraph">
                  <wp:posOffset>88265</wp:posOffset>
                </wp:positionV>
                <wp:extent cx="1066800" cy="0"/>
                <wp:effectExtent l="38100" t="76200" r="19050" b="95250"/>
                <wp:wrapNone/>
                <wp:docPr id="3" name="Connecteur droit avec flèche 3"/>
                <wp:cNvGraphicFramePr/>
                <a:graphic xmlns:a="http://schemas.openxmlformats.org/drawingml/2006/main">
                  <a:graphicData uri="http://schemas.microsoft.com/office/word/2010/wordprocessingShape">
                    <wps:wsp>
                      <wps:cNvCnPr/>
                      <wps:spPr>
                        <a:xfrm>
                          <a:off x="0" y="0"/>
                          <a:ext cx="10668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A4A0D6" id="_x0000_t32" coordsize="21600,21600" o:spt="32" o:oned="t" path="m,l21600,21600e" filled="f">
                <v:path arrowok="t" fillok="f" o:connecttype="none"/>
                <o:lock v:ext="edit" shapetype="t"/>
              </v:shapetype>
              <v:shape id="Connecteur droit avec flèche 3" o:spid="_x0000_s1026" type="#_x0000_t32" style="position:absolute;margin-left:154.9pt;margin-top:6.95pt;width:8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" strokecolor="#5b9bd5 [3204]" strokeweight=".5pt">
                <v:stroke startarrow="block" endarrow="block" joinstyle="miter"/>
              </v:shape>
            </w:pict>
          </mc:Fallback>
        </mc:AlternateContent>
      </w:r>
      <w:r>
        <w:t xml:space="preserve">Acheteur possède les actifs reçus </w:t>
      </w:r>
      <w:r>
        <w:tab/>
      </w:r>
      <w:r>
        <w:tab/>
      </w:r>
      <w:r>
        <w:tab/>
        <w:t>Vendeur peut utiliser le cash reçu</w:t>
      </w:r>
    </w:p>
    <w:p w:rsidR="002D003B" w:rsidRDefault="002D003B" w:rsidP="003C3E49">
      <w:proofErr w:type="spellStart"/>
      <w:r>
        <w:t>Bid</w:t>
      </w:r>
      <w:proofErr w:type="spellEnd"/>
      <w:r>
        <w:t xml:space="preserve"> : Donne le cash et prend le papier / </w:t>
      </w:r>
      <w:proofErr w:type="spellStart"/>
      <w:r>
        <w:t>Ask</w:t>
      </w:r>
      <w:proofErr w:type="spellEnd"/>
      <w:r>
        <w:t> : Prend le cash et donne le papier</w:t>
      </w:r>
    </w:p>
    <w:p w:rsidR="003C3E49" w:rsidRDefault="003C3E49" w:rsidP="003C3E49">
      <w:r>
        <w:t xml:space="preserve">A l’initiation les actifs sont évalués avec un </w:t>
      </w:r>
      <w:proofErr w:type="spellStart"/>
      <w:r>
        <w:t>dirty-price</w:t>
      </w:r>
      <w:proofErr w:type="spellEnd"/>
      <w:r>
        <w:t xml:space="preserve"> (coupon en cours/à venir inclus)</w:t>
      </w:r>
    </w:p>
    <w:p w:rsidR="003C3E49" w:rsidRDefault="003C3E49" w:rsidP="003C3E49"/>
    <w:p w:rsidR="003C3E49" w:rsidRDefault="003C3E49" w:rsidP="003C3E49">
      <w:pPr>
        <w:rPr>
          <w:u w:val="single"/>
        </w:rPr>
      </w:pPr>
      <w:r>
        <w:rPr>
          <w:u w:val="single"/>
        </w:rPr>
        <w:t>A. Mise en place d’une opération de REPO :</w:t>
      </w:r>
    </w:p>
    <w:p w:rsidR="003C3E49" w:rsidRDefault="003C3E49" w:rsidP="003C3E49">
      <w:pPr>
        <w:rPr>
          <w:u w:val="single"/>
        </w:rPr>
      </w:pPr>
    </w:p>
    <w:p w:rsidR="003C3E49" w:rsidRDefault="003C3E49" w:rsidP="003C3E49">
      <w:pPr>
        <w:jc w:val="center"/>
      </w:pPr>
      <w:r>
        <w:rPr>
          <w:noProof/>
          <w:lang w:eastAsia="fr-FR"/>
        </w:rPr>
        <w:drawing>
          <wp:inline distT="0" distB="0" distL="0" distR="0" wp14:anchorId="2F2AF6F4" wp14:editId="521AB0B5">
            <wp:extent cx="4600575" cy="25241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0575" cy="2524125"/>
                    </a:xfrm>
                    <a:prstGeom prst="rect">
                      <a:avLst/>
                    </a:prstGeom>
                  </pic:spPr>
                </pic:pic>
              </a:graphicData>
            </a:graphic>
          </wp:inline>
        </w:drawing>
      </w:r>
    </w:p>
    <w:p w:rsidR="003C3E49" w:rsidRDefault="003C3E49" w:rsidP="003C3E49">
      <w:pPr>
        <w:jc w:val="center"/>
      </w:pPr>
    </w:p>
    <w:p w:rsidR="003C3E49" w:rsidRDefault="003C3E49" w:rsidP="003C3E49">
      <w:pPr>
        <w:rPr>
          <w:u w:val="single"/>
        </w:rPr>
      </w:pPr>
      <w:r>
        <w:rPr>
          <w:u w:val="single"/>
        </w:rPr>
        <w:t>B. Les types de REPO :</w:t>
      </w:r>
    </w:p>
    <w:tbl>
      <w:tblPr>
        <w:tblStyle w:val="Grilledutableau"/>
        <w:tblW w:w="9776" w:type="dxa"/>
        <w:tblLook w:val="04A0" w:firstRow="1" w:lastRow="0" w:firstColumn="1" w:lastColumn="0" w:noHBand="0" w:noVBand="1"/>
      </w:tblPr>
      <w:tblGrid>
        <w:gridCol w:w="3256"/>
        <w:gridCol w:w="6520"/>
      </w:tblGrid>
      <w:tr w:rsidR="003C3E49" w:rsidTr="00EE4E66">
        <w:tc>
          <w:tcPr>
            <w:tcW w:w="3256" w:type="dxa"/>
            <w:shd w:val="clear" w:color="auto" w:fill="C00000"/>
            <w:vAlign w:val="center"/>
          </w:tcPr>
          <w:p w:rsidR="003C3E49" w:rsidRPr="003C3E49" w:rsidRDefault="00EE4E66" w:rsidP="003C3E49">
            <w:pPr>
              <w:jc w:val="center"/>
              <w:rPr>
                <w:b/>
                <w:color w:val="FFFFFF" w:themeColor="background1"/>
              </w:rPr>
            </w:pPr>
            <w:r>
              <w:rPr>
                <w:b/>
                <w:color w:val="FFFFFF" w:themeColor="background1"/>
              </w:rPr>
              <w:t xml:space="preserve">Type de repo </w:t>
            </w:r>
          </w:p>
        </w:tc>
        <w:tc>
          <w:tcPr>
            <w:tcW w:w="6520" w:type="dxa"/>
            <w:shd w:val="clear" w:color="auto" w:fill="C00000"/>
            <w:vAlign w:val="center"/>
          </w:tcPr>
          <w:p w:rsidR="003C3E49" w:rsidRPr="003C3E49" w:rsidRDefault="00EE4E66" w:rsidP="003C3E49">
            <w:pPr>
              <w:jc w:val="center"/>
              <w:rPr>
                <w:b/>
                <w:color w:val="FFFFFF" w:themeColor="background1"/>
              </w:rPr>
            </w:pPr>
            <w:r>
              <w:rPr>
                <w:b/>
                <w:color w:val="FFFFFF" w:themeColor="background1"/>
              </w:rPr>
              <w:t>Description</w:t>
            </w:r>
          </w:p>
        </w:tc>
      </w:tr>
      <w:tr w:rsidR="00EE4E66" w:rsidTr="00EE4E66">
        <w:tc>
          <w:tcPr>
            <w:tcW w:w="3256" w:type="dxa"/>
            <w:shd w:val="clear" w:color="auto" w:fill="F2F2F2" w:themeFill="background1" w:themeFillShade="F2"/>
            <w:vAlign w:val="center"/>
          </w:tcPr>
          <w:p w:rsidR="00EE4E66" w:rsidRPr="00EE4E66" w:rsidRDefault="00EE4E66" w:rsidP="00EE4E66">
            <w:r>
              <w:t xml:space="preserve">General </w:t>
            </w:r>
            <w:proofErr w:type="spellStart"/>
            <w:r>
              <w:t>Collateral</w:t>
            </w:r>
            <w:proofErr w:type="spellEnd"/>
            <w:r>
              <w:t xml:space="preserve"> Repo (GCR)</w:t>
            </w:r>
          </w:p>
        </w:tc>
        <w:tc>
          <w:tcPr>
            <w:tcW w:w="6520" w:type="dxa"/>
            <w:shd w:val="clear" w:color="auto" w:fill="F2F2F2" w:themeFill="background1" w:themeFillShade="F2"/>
            <w:vAlign w:val="center"/>
          </w:tcPr>
          <w:p w:rsidR="00EE4E66" w:rsidRPr="00EE4E66" w:rsidRDefault="00EE4E66" w:rsidP="00EE4E66">
            <w:r>
              <w:t>Acheteur accepte tous actifs (entrant dans panel défini)</w:t>
            </w:r>
          </w:p>
        </w:tc>
      </w:tr>
      <w:tr w:rsidR="00EE4E66" w:rsidTr="00EE4E66">
        <w:tc>
          <w:tcPr>
            <w:tcW w:w="3256" w:type="dxa"/>
            <w:shd w:val="clear" w:color="auto" w:fill="auto"/>
            <w:vAlign w:val="center"/>
          </w:tcPr>
          <w:p w:rsidR="00EE4E66" w:rsidRDefault="00EE4E66" w:rsidP="00EE4E66">
            <w:proofErr w:type="spellStart"/>
            <w:r>
              <w:t>Specials</w:t>
            </w:r>
            <w:proofErr w:type="spellEnd"/>
            <w:r>
              <w:t xml:space="preserve"> Repos</w:t>
            </w:r>
          </w:p>
        </w:tc>
        <w:tc>
          <w:tcPr>
            <w:tcW w:w="6520" w:type="dxa"/>
            <w:shd w:val="clear" w:color="auto" w:fill="auto"/>
            <w:vAlign w:val="center"/>
          </w:tcPr>
          <w:p w:rsidR="00EE4E66" w:rsidRDefault="00EE4E66" w:rsidP="00EE4E66">
            <w:r>
              <w:t>Acheteur ne cherche qu’un type d’actif précis</w:t>
            </w:r>
          </w:p>
        </w:tc>
      </w:tr>
      <w:tr w:rsidR="00EE4E66" w:rsidRPr="002D003B" w:rsidTr="00EE4E66">
        <w:tc>
          <w:tcPr>
            <w:tcW w:w="3256" w:type="dxa"/>
            <w:shd w:val="clear" w:color="auto" w:fill="F2F2F2" w:themeFill="background1" w:themeFillShade="F2"/>
            <w:vAlign w:val="center"/>
          </w:tcPr>
          <w:p w:rsidR="00EE4E66" w:rsidRDefault="00EE4E66" w:rsidP="00EE4E66">
            <w:r>
              <w:t>Reverse Repo</w:t>
            </w:r>
          </w:p>
        </w:tc>
        <w:tc>
          <w:tcPr>
            <w:tcW w:w="6520" w:type="dxa"/>
            <w:shd w:val="clear" w:color="auto" w:fill="F2F2F2" w:themeFill="background1" w:themeFillShade="F2"/>
            <w:vAlign w:val="center"/>
          </w:tcPr>
          <w:p w:rsidR="00EE4E66" w:rsidRPr="00EE4E66" w:rsidRDefault="00EE4E66" w:rsidP="00EE4E66">
            <w:pPr>
              <w:rPr>
                <w:lang w:val="en-US"/>
              </w:rPr>
            </w:pPr>
            <w:proofErr w:type="spellStart"/>
            <w:r w:rsidRPr="00EE4E66">
              <w:rPr>
                <w:lang w:val="en-US"/>
              </w:rPr>
              <w:t>Symétrique</w:t>
            </w:r>
            <w:proofErr w:type="spellEnd"/>
            <w:r w:rsidRPr="00EE4E66">
              <w:rPr>
                <w:lang w:val="en-US"/>
              </w:rPr>
              <w:t xml:space="preserve"> REPO.</w:t>
            </w:r>
            <w:r>
              <w:rPr>
                <w:lang w:val="en-US"/>
              </w:rPr>
              <w:t xml:space="preserve"> </w:t>
            </w:r>
            <w:proofErr w:type="spellStart"/>
            <w:r>
              <w:rPr>
                <w:lang w:val="en-US"/>
              </w:rPr>
              <w:t>Ici</w:t>
            </w:r>
            <w:proofErr w:type="spellEnd"/>
            <w:r>
              <w:rPr>
                <w:lang w:val="en-US"/>
              </w:rPr>
              <w:t xml:space="preserve"> Cash provider = Cash taker</w:t>
            </w:r>
          </w:p>
        </w:tc>
      </w:tr>
      <w:tr w:rsidR="00EE4E66" w:rsidRPr="00EE4E66" w:rsidTr="00EE4E66">
        <w:tc>
          <w:tcPr>
            <w:tcW w:w="3256" w:type="dxa"/>
            <w:shd w:val="clear" w:color="auto" w:fill="auto"/>
            <w:vAlign w:val="center"/>
          </w:tcPr>
          <w:p w:rsidR="00EE4E66" w:rsidRPr="00EE4E66" w:rsidRDefault="00EE4E66" w:rsidP="00EE4E66">
            <w:pPr>
              <w:rPr>
                <w:lang w:val="en-US"/>
              </w:rPr>
            </w:pPr>
            <w:proofErr w:type="spellStart"/>
            <w:r>
              <w:rPr>
                <w:lang w:val="en-US"/>
              </w:rPr>
              <w:t>Crédit</w:t>
            </w:r>
            <w:proofErr w:type="spellEnd"/>
            <w:r>
              <w:rPr>
                <w:lang w:val="en-US"/>
              </w:rPr>
              <w:t xml:space="preserve"> Repo</w:t>
            </w:r>
          </w:p>
        </w:tc>
        <w:tc>
          <w:tcPr>
            <w:tcW w:w="6520" w:type="dxa"/>
            <w:shd w:val="clear" w:color="auto" w:fill="auto"/>
            <w:vAlign w:val="center"/>
          </w:tcPr>
          <w:p w:rsidR="00EE4E66" w:rsidRPr="00EE4E66" w:rsidRDefault="00EE4E66" w:rsidP="00EE4E66">
            <w:r w:rsidRPr="00EE4E66">
              <w:t>Iden</w:t>
            </w:r>
            <w:r>
              <w:t>t</w:t>
            </w:r>
            <w:r w:rsidRPr="00EE4E66">
              <w:t xml:space="preserve">ique CGR. Ce qui change est le type de </w:t>
            </w:r>
            <w:proofErr w:type="spellStart"/>
            <w:r w:rsidRPr="00EE4E66">
              <w:t>collateral</w:t>
            </w:r>
            <w:proofErr w:type="spellEnd"/>
            <w:r w:rsidRPr="00EE4E66">
              <w:t xml:space="preserve"> avec un profil plus ris</w:t>
            </w:r>
            <w:r>
              <w:t>qué (type souverain bonds, CDO)</w:t>
            </w:r>
          </w:p>
        </w:tc>
      </w:tr>
      <w:tr w:rsidR="00EE4E66" w:rsidRPr="00EE4E66" w:rsidTr="00EE4E66">
        <w:tc>
          <w:tcPr>
            <w:tcW w:w="3256" w:type="dxa"/>
            <w:shd w:val="clear" w:color="auto" w:fill="F2F2F2" w:themeFill="background1" w:themeFillShade="F2"/>
            <w:vAlign w:val="center"/>
          </w:tcPr>
          <w:p w:rsidR="00EE4E66" w:rsidRPr="00EE4E66" w:rsidRDefault="00EE4E66" w:rsidP="00EE4E66">
            <w:proofErr w:type="spellStart"/>
            <w:r>
              <w:t>Equity</w:t>
            </w:r>
            <w:proofErr w:type="spellEnd"/>
            <w:r>
              <w:t xml:space="preserve"> Repo</w:t>
            </w:r>
          </w:p>
        </w:tc>
        <w:tc>
          <w:tcPr>
            <w:tcW w:w="6520" w:type="dxa"/>
            <w:shd w:val="clear" w:color="auto" w:fill="F2F2F2" w:themeFill="background1" w:themeFillShade="F2"/>
            <w:vAlign w:val="center"/>
          </w:tcPr>
          <w:p w:rsidR="00EE4E66" w:rsidRPr="00EE4E66" w:rsidRDefault="00EE4E66" w:rsidP="00EE4E66">
            <w:r>
              <w:t xml:space="preserve">Identique CGR. Actif en </w:t>
            </w:r>
            <w:proofErr w:type="spellStart"/>
            <w:r>
              <w:t>collat</w:t>
            </w:r>
            <w:proofErr w:type="spellEnd"/>
            <w:r>
              <w:t> </w:t>
            </w:r>
            <w:proofErr w:type="spellStart"/>
            <w:r>
              <w:t>éral</w:t>
            </w:r>
            <w:proofErr w:type="spellEnd"/>
            <w:r>
              <w:t xml:space="preserve"> = action. Permet de financer un portefeuille ou couvrir un position short. Développé depuis la crise que les obligations d’état</w:t>
            </w:r>
          </w:p>
        </w:tc>
      </w:tr>
    </w:tbl>
    <w:p w:rsidR="003C3E49" w:rsidRDefault="003C3E49" w:rsidP="003C3E49">
      <w:pPr>
        <w:rPr>
          <w:u w:val="single"/>
        </w:rPr>
      </w:pPr>
    </w:p>
    <w:p w:rsidR="00EE4E66" w:rsidRDefault="00EE4E66" w:rsidP="003C3E49">
      <w:pPr>
        <w:rPr>
          <w:u w:val="single"/>
        </w:rPr>
      </w:pPr>
    </w:p>
    <w:p w:rsidR="00EE4E66" w:rsidRDefault="00EE4E66" w:rsidP="003C3E49">
      <w:pPr>
        <w:rPr>
          <w:u w:val="single"/>
        </w:rPr>
      </w:pPr>
    </w:p>
    <w:p w:rsidR="0019140E" w:rsidRPr="00DA7A60" w:rsidRDefault="002E26B4" w:rsidP="003C3E49">
      <w:pPr>
        <w:rPr>
          <w:u w:val="single"/>
        </w:rPr>
      </w:pPr>
      <w:r>
        <w:rPr>
          <w:noProof/>
          <w:u w:val="single"/>
          <w:lang w:eastAsia="fr-FR"/>
        </w:rPr>
        <w:lastRenderedPageBreak/>
        <w:drawing>
          <wp:anchor distT="0" distB="0" distL="114300" distR="114300" simplePos="0" relativeHeight="251661312" behindDoc="0" locked="0" layoutInCell="1" allowOverlap="1">
            <wp:simplePos x="0" y="0"/>
            <wp:positionH relativeFrom="column">
              <wp:posOffset>-728345</wp:posOffset>
            </wp:positionH>
            <wp:positionV relativeFrom="paragraph">
              <wp:posOffset>281305</wp:posOffset>
            </wp:positionV>
            <wp:extent cx="7172325" cy="3124200"/>
            <wp:effectExtent l="0" t="0" r="66675" b="0"/>
            <wp:wrapSquare wrapText="bothSides"/>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EE4E66">
        <w:rPr>
          <w:u w:val="single"/>
        </w:rPr>
        <w:t>C. Etapes du REPO :</w:t>
      </w:r>
    </w:p>
    <w:p w:rsidR="0019140E" w:rsidRDefault="0019140E" w:rsidP="003C3E49">
      <w:r>
        <w:rPr>
          <w:b/>
        </w:rPr>
        <w:t xml:space="preserve">Fin de l’opération </w:t>
      </w:r>
      <w:r w:rsidRPr="0019140E">
        <w:rPr>
          <w:b/>
        </w:rPr>
        <w:sym w:font="Wingdings" w:char="F0E0"/>
      </w:r>
      <w:r>
        <w:rPr>
          <w:b/>
        </w:rPr>
        <w:t xml:space="preserve"> </w:t>
      </w:r>
      <w:r>
        <w:t xml:space="preserve">A la fin du REPO (terme / </w:t>
      </w:r>
      <w:proofErr w:type="spellStart"/>
      <w:r>
        <w:t>recall</w:t>
      </w:r>
      <w:proofErr w:type="spellEnd"/>
      <w:r>
        <w:t>), l’acheteur revend les titres au vendeur. Le vendeur retourne les fonds à l’acheter majoré des intérêts (calculés au taux de repo négocié up-front)</w:t>
      </w:r>
    </w:p>
    <w:p w:rsidR="0019140E" w:rsidRPr="0019140E" w:rsidRDefault="0019140E" w:rsidP="003C3E49">
      <w:pPr>
        <w:rPr>
          <w:b/>
          <w:color w:val="C00000"/>
        </w:rPr>
      </w:pPr>
      <w:r w:rsidRPr="0019140E">
        <w:rPr>
          <w:b/>
          <w:color w:val="C00000"/>
        </w:rPr>
        <w:t>II. Les intervenants </w:t>
      </w:r>
    </w:p>
    <w:p w:rsidR="0019140E" w:rsidRDefault="0019140E" w:rsidP="003C3E49">
      <w:r w:rsidRPr="0019140E">
        <w:t>Dan</w:t>
      </w:r>
      <w:r>
        <w:t xml:space="preserve">s un marché bilatéral, </w:t>
      </w:r>
      <w:r w:rsidRPr="0019140E">
        <w:t>3 catégories d’intervenant pouvan</w:t>
      </w:r>
      <w:r>
        <w:t xml:space="preserve">t tous être « cash provider » / « cash </w:t>
      </w:r>
      <w:proofErr w:type="spellStart"/>
      <w:r>
        <w:t>taker</w:t>
      </w:r>
      <w:proofErr w:type="spellEnd"/>
      <w:r>
        <w:t xml:space="preserve"> »</w:t>
      </w:r>
    </w:p>
    <w:tbl>
      <w:tblPr>
        <w:tblStyle w:val="Grilledutableau"/>
        <w:tblW w:w="10065" w:type="dxa"/>
        <w:tblInd w:w="-572" w:type="dxa"/>
        <w:tblLook w:val="04A0" w:firstRow="1" w:lastRow="0" w:firstColumn="1" w:lastColumn="0" w:noHBand="0" w:noVBand="1"/>
      </w:tblPr>
      <w:tblGrid>
        <w:gridCol w:w="3592"/>
        <w:gridCol w:w="3496"/>
        <w:gridCol w:w="2977"/>
      </w:tblGrid>
      <w:tr w:rsidR="0019140E" w:rsidTr="00DA7A60">
        <w:tc>
          <w:tcPr>
            <w:tcW w:w="3592" w:type="dxa"/>
            <w:shd w:val="clear" w:color="auto" w:fill="C00000"/>
            <w:vAlign w:val="center"/>
          </w:tcPr>
          <w:p w:rsidR="0019140E" w:rsidRPr="008D07F0" w:rsidRDefault="0019140E" w:rsidP="008D07F0">
            <w:pPr>
              <w:jc w:val="center"/>
              <w:rPr>
                <w:b/>
                <w:color w:val="FFFFFF" w:themeColor="background1"/>
              </w:rPr>
            </w:pPr>
            <w:r w:rsidRPr="008D07F0">
              <w:rPr>
                <w:b/>
                <w:color w:val="FFFFFF" w:themeColor="background1"/>
              </w:rPr>
              <w:t>Banques et Brokers - Dealer</w:t>
            </w:r>
          </w:p>
        </w:tc>
        <w:tc>
          <w:tcPr>
            <w:tcW w:w="3496" w:type="dxa"/>
            <w:shd w:val="clear" w:color="auto" w:fill="C00000"/>
            <w:vAlign w:val="center"/>
          </w:tcPr>
          <w:p w:rsidR="0019140E" w:rsidRPr="008D07F0" w:rsidRDefault="0019140E" w:rsidP="008D07F0">
            <w:pPr>
              <w:jc w:val="center"/>
              <w:rPr>
                <w:b/>
                <w:color w:val="FFFFFF" w:themeColor="background1"/>
              </w:rPr>
            </w:pPr>
            <w:r w:rsidRPr="008D07F0">
              <w:rPr>
                <w:b/>
                <w:color w:val="FFFFFF" w:themeColor="background1"/>
              </w:rPr>
              <w:t>Investisseurs</w:t>
            </w:r>
          </w:p>
        </w:tc>
        <w:tc>
          <w:tcPr>
            <w:tcW w:w="2977" w:type="dxa"/>
            <w:shd w:val="clear" w:color="auto" w:fill="C00000"/>
            <w:vAlign w:val="center"/>
          </w:tcPr>
          <w:p w:rsidR="0019140E" w:rsidRPr="008D07F0" w:rsidRDefault="0019140E" w:rsidP="008D07F0">
            <w:pPr>
              <w:jc w:val="center"/>
              <w:rPr>
                <w:b/>
                <w:color w:val="FFFFFF" w:themeColor="background1"/>
              </w:rPr>
            </w:pPr>
            <w:r w:rsidRPr="008D07F0">
              <w:rPr>
                <w:b/>
                <w:color w:val="FFFFFF" w:themeColor="background1"/>
              </w:rPr>
              <w:t>Banques centrales</w:t>
            </w:r>
          </w:p>
        </w:tc>
      </w:tr>
      <w:tr w:rsidR="0019140E" w:rsidTr="00DA7A60">
        <w:tc>
          <w:tcPr>
            <w:tcW w:w="3592" w:type="dxa"/>
          </w:tcPr>
          <w:p w:rsidR="0019140E" w:rsidRDefault="0019140E" w:rsidP="0019140E">
            <w:pPr>
              <w:pStyle w:val="Paragraphedeliste"/>
              <w:numPr>
                <w:ilvl w:val="0"/>
                <w:numId w:val="1"/>
              </w:numPr>
            </w:pPr>
            <w:r>
              <w:t xml:space="preserve">Utilisateurs comme outils de financement </w:t>
            </w:r>
          </w:p>
          <w:p w:rsidR="0019140E" w:rsidRDefault="0019140E" w:rsidP="0019140E">
            <w:pPr>
              <w:pStyle w:val="Paragraphedeliste"/>
              <w:numPr>
                <w:ilvl w:val="0"/>
                <w:numId w:val="1"/>
              </w:numPr>
            </w:pPr>
            <w:r>
              <w:t xml:space="preserve">Profits par les écarts </w:t>
            </w:r>
            <w:proofErr w:type="spellStart"/>
            <w:r>
              <w:t>bid</w:t>
            </w:r>
            <w:proofErr w:type="spellEnd"/>
            <w:r>
              <w:t>/</w:t>
            </w:r>
            <w:proofErr w:type="spellStart"/>
            <w:r>
              <w:t>ask</w:t>
            </w:r>
            <w:proofErr w:type="spellEnd"/>
            <w:r>
              <w:t xml:space="preserve"> et prises de position pour compte propres</w:t>
            </w:r>
          </w:p>
          <w:p w:rsidR="0019140E" w:rsidRDefault="0019140E" w:rsidP="0019140E">
            <w:pPr>
              <w:pStyle w:val="Paragraphedeliste"/>
              <w:numPr>
                <w:ilvl w:val="0"/>
                <w:numId w:val="1"/>
              </w:numPr>
            </w:pPr>
            <w:r>
              <w:t xml:space="preserve">USA : « 22 </w:t>
            </w:r>
            <w:proofErr w:type="spellStart"/>
            <w:r>
              <w:t>old</w:t>
            </w:r>
            <w:proofErr w:type="spellEnd"/>
            <w:r>
              <w:t xml:space="preserve"> </w:t>
            </w:r>
            <w:proofErr w:type="spellStart"/>
            <w:r>
              <w:t>primary</w:t>
            </w:r>
            <w:proofErr w:type="spellEnd"/>
            <w:r>
              <w:t xml:space="preserve"> dealer » </w:t>
            </w:r>
          </w:p>
          <w:p w:rsidR="0019140E" w:rsidRDefault="0019140E" w:rsidP="0019140E">
            <w:pPr>
              <w:pStyle w:val="Paragraphedeliste"/>
              <w:numPr>
                <w:ilvl w:val="0"/>
                <w:numId w:val="1"/>
              </w:numPr>
            </w:pPr>
            <w:r>
              <w:t>EU : SVT</w:t>
            </w:r>
          </w:p>
          <w:p w:rsidR="0019140E" w:rsidRDefault="0019140E" w:rsidP="0019140E">
            <w:pPr>
              <w:pStyle w:val="Paragraphedeliste"/>
              <w:numPr>
                <w:ilvl w:val="0"/>
                <w:numId w:val="1"/>
              </w:numPr>
            </w:pPr>
            <w:r>
              <w:t xml:space="preserve">En général : Cash </w:t>
            </w:r>
            <w:proofErr w:type="spellStart"/>
            <w:r>
              <w:t>takers</w:t>
            </w:r>
            <w:proofErr w:type="spellEnd"/>
          </w:p>
        </w:tc>
        <w:tc>
          <w:tcPr>
            <w:tcW w:w="3496" w:type="dxa"/>
          </w:tcPr>
          <w:p w:rsidR="0019140E" w:rsidRDefault="0019140E" w:rsidP="0019140E">
            <w:pPr>
              <w:pStyle w:val="Paragraphedeliste"/>
              <w:numPr>
                <w:ilvl w:val="0"/>
                <w:numId w:val="1"/>
              </w:numPr>
            </w:pPr>
            <w:r>
              <w:t xml:space="preserve">Gestionnaires de fonds, </w:t>
            </w:r>
            <w:proofErr w:type="spellStart"/>
            <w:r>
              <w:t>hedge</w:t>
            </w:r>
            <w:proofErr w:type="spellEnd"/>
            <w:r>
              <w:t xml:space="preserve"> </w:t>
            </w:r>
            <w:proofErr w:type="spellStart"/>
            <w:r>
              <w:t>funds</w:t>
            </w:r>
            <w:proofErr w:type="spellEnd"/>
            <w:r>
              <w:t>, investisseurs avec une gestion active de leur trésorerie</w:t>
            </w:r>
          </w:p>
          <w:p w:rsidR="0019140E" w:rsidRDefault="0019140E" w:rsidP="0019140E">
            <w:pPr>
              <w:pStyle w:val="Paragraphedeliste"/>
              <w:numPr>
                <w:ilvl w:val="0"/>
                <w:numId w:val="1"/>
              </w:numPr>
            </w:pPr>
            <w:r>
              <w:t>Utilisateurs pour obtenir un rendement plus important que le marché monétaire ou emprunter à moindre coût</w:t>
            </w:r>
          </w:p>
          <w:p w:rsidR="00DA7A60" w:rsidRDefault="00DA7A60" w:rsidP="0019140E">
            <w:pPr>
              <w:pStyle w:val="Paragraphedeliste"/>
              <w:numPr>
                <w:ilvl w:val="0"/>
                <w:numId w:val="1"/>
              </w:numPr>
            </w:pPr>
            <w:r>
              <w:t>Entreprise avec besoin de cash (risquée, rating faible) : donne du collatéral</w:t>
            </w:r>
          </w:p>
        </w:tc>
        <w:tc>
          <w:tcPr>
            <w:tcW w:w="2977" w:type="dxa"/>
          </w:tcPr>
          <w:p w:rsidR="0019140E" w:rsidRDefault="008D07F0" w:rsidP="008D07F0">
            <w:pPr>
              <w:pStyle w:val="Paragraphedeliste"/>
              <w:numPr>
                <w:ilvl w:val="0"/>
                <w:numId w:val="1"/>
              </w:numPr>
            </w:pPr>
            <w:r>
              <w:t xml:space="preserve">Contrôle le marché des liquidités </w:t>
            </w:r>
          </w:p>
          <w:p w:rsidR="008D07F0" w:rsidRDefault="008D07F0" w:rsidP="008D07F0">
            <w:pPr>
              <w:pStyle w:val="Paragraphedeliste"/>
              <w:numPr>
                <w:ilvl w:val="0"/>
                <w:numId w:val="1"/>
              </w:numPr>
            </w:pPr>
            <w:r>
              <w:t xml:space="preserve">Influence les taux d’intérêts à CT dans les opérations d’open </w:t>
            </w:r>
            <w:proofErr w:type="spellStart"/>
            <w:r>
              <w:t>market</w:t>
            </w:r>
            <w:proofErr w:type="spellEnd"/>
            <w:r>
              <w:t>*</w:t>
            </w:r>
          </w:p>
          <w:p w:rsidR="008D07F0" w:rsidRDefault="008D07F0" w:rsidP="008D07F0">
            <w:pPr>
              <w:pStyle w:val="Paragraphedeliste"/>
              <w:numPr>
                <w:ilvl w:val="0"/>
                <w:numId w:val="1"/>
              </w:numPr>
            </w:pPr>
            <w:r>
              <w:t>En général : Cash providers</w:t>
            </w:r>
          </w:p>
        </w:tc>
      </w:tr>
    </w:tbl>
    <w:p w:rsidR="0019140E" w:rsidRDefault="0019140E" w:rsidP="003C3E49"/>
    <w:p w:rsidR="008D07F0" w:rsidRDefault="008D07F0" w:rsidP="003C3E49">
      <w:r>
        <w:t xml:space="preserve">*Opérations d’open </w:t>
      </w:r>
      <w:proofErr w:type="spellStart"/>
      <w:r>
        <w:t>market</w:t>
      </w:r>
      <w:proofErr w:type="spellEnd"/>
      <w:r>
        <w:t> : I</w:t>
      </w:r>
      <w:r w:rsidRPr="008D07F0">
        <w:t>nterventions de la Banque centrale sur le marché monétaire consistant à fournir ou retirer des liquidités aux établissements financiers via des achats ou des ventes de titres et ainsi influencer à la baisse ou à la hausse le taux du marché monétaire.</w:t>
      </w:r>
    </w:p>
    <w:p w:rsidR="008D07F0" w:rsidRDefault="008D07F0" w:rsidP="003C3E49">
      <w:r>
        <w:t>Le repo triparti est une activité récente (USA 1980 / EU 1992). Les deux parties externalisent la gestion</w:t>
      </w:r>
      <w:r w:rsidR="00DA7A60">
        <w:t xml:space="preserve"> du collatéral à un agent tiers (bilatéral = chambre de compensation).</w:t>
      </w:r>
    </w:p>
    <w:p w:rsidR="008D07F0" w:rsidRDefault="008D07F0" w:rsidP="003C3E49">
      <w:r>
        <w:t xml:space="preserve">Agent tiers : Intermédiaire responsable de l’administration de la transaction augmentant les frais du repo mais offrant des économies d’échelle aux utilisateurs. </w:t>
      </w:r>
      <w:r w:rsidR="00DA7A60">
        <w:t>Le risque n’existe quasiment plus.</w:t>
      </w:r>
    </w:p>
    <w:p w:rsidR="008D07F0" w:rsidRDefault="008D07F0" w:rsidP="003C3E49">
      <w:pPr>
        <w:rPr>
          <w:i/>
        </w:rPr>
      </w:pPr>
      <w:r>
        <w:rPr>
          <w:i/>
        </w:rPr>
        <w:lastRenderedPageBreak/>
        <w:t xml:space="preserve">Organisation d’un repo triparti </w:t>
      </w:r>
    </w:p>
    <w:p w:rsidR="008D07F0" w:rsidRDefault="008D07F0" w:rsidP="003C3E49">
      <w:r>
        <w:rPr>
          <w:noProof/>
          <w:lang w:eastAsia="fr-FR"/>
        </w:rPr>
        <w:drawing>
          <wp:inline distT="0" distB="0" distL="0" distR="0" wp14:anchorId="280AA9DD" wp14:editId="76E846B7">
            <wp:extent cx="6110993" cy="2581275"/>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4332" cy="2586909"/>
                    </a:xfrm>
                    <a:prstGeom prst="rect">
                      <a:avLst/>
                    </a:prstGeom>
                  </pic:spPr>
                </pic:pic>
              </a:graphicData>
            </a:graphic>
          </wp:inline>
        </w:drawing>
      </w:r>
    </w:p>
    <w:p w:rsidR="008D07F0" w:rsidRDefault="008D07F0" w:rsidP="008D07F0">
      <w:pPr>
        <w:rPr>
          <w:b/>
          <w:color w:val="C00000"/>
        </w:rPr>
      </w:pPr>
      <w:r>
        <w:rPr>
          <w:b/>
          <w:color w:val="C00000"/>
        </w:rPr>
        <w:t>III. Les fondamentaux </w:t>
      </w:r>
    </w:p>
    <w:p w:rsidR="008D07F0" w:rsidRDefault="008D07F0" w:rsidP="008D07F0">
      <w:pPr>
        <w:rPr>
          <w:i/>
        </w:rPr>
      </w:pPr>
      <w:r>
        <w:rPr>
          <w:i/>
        </w:rPr>
        <w:t xml:space="preserve">Les concepts du prêts - emprunts sur actions (Securities </w:t>
      </w:r>
      <w:proofErr w:type="spellStart"/>
      <w:r>
        <w:rPr>
          <w:i/>
        </w:rPr>
        <w:t>lending</w:t>
      </w:r>
      <w:proofErr w:type="spellEnd"/>
      <w:r>
        <w:rPr>
          <w:i/>
        </w:rPr>
        <w:t xml:space="preserve">) </w:t>
      </w:r>
    </w:p>
    <w:tbl>
      <w:tblPr>
        <w:tblStyle w:val="Grilledutableau"/>
        <w:tblW w:w="9776" w:type="dxa"/>
        <w:tblLook w:val="04A0" w:firstRow="1" w:lastRow="0" w:firstColumn="1" w:lastColumn="0" w:noHBand="0" w:noVBand="1"/>
      </w:tblPr>
      <w:tblGrid>
        <w:gridCol w:w="1980"/>
        <w:gridCol w:w="7796"/>
      </w:tblGrid>
      <w:tr w:rsidR="002C2CD1" w:rsidTr="00F57A68">
        <w:tc>
          <w:tcPr>
            <w:tcW w:w="1980" w:type="dxa"/>
            <w:shd w:val="clear" w:color="auto" w:fill="C00000"/>
            <w:vAlign w:val="center"/>
          </w:tcPr>
          <w:p w:rsidR="002C2CD1" w:rsidRPr="002C2CD1" w:rsidRDefault="002C2CD1" w:rsidP="002C2CD1">
            <w:pPr>
              <w:jc w:val="center"/>
              <w:rPr>
                <w:b/>
                <w:color w:val="FFFFFF" w:themeColor="background1"/>
              </w:rPr>
            </w:pPr>
            <w:r w:rsidRPr="002C2CD1">
              <w:rPr>
                <w:b/>
                <w:color w:val="FFFFFF" w:themeColor="background1"/>
              </w:rPr>
              <w:t>Définition</w:t>
            </w:r>
          </w:p>
        </w:tc>
        <w:tc>
          <w:tcPr>
            <w:tcW w:w="7796" w:type="dxa"/>
            <w:shd w:val="clear" w:color="auto" w:fill="C00000"/>
            <w:vAlign w:val="center"/>
          </w:tcPr>
          <w:p w:rsidR="002C2CD1" w:rsidRPr="002C2CD1" w:rsidRDefault="002C2CD1" w:rsidP="002C2CD1">
            <w:pPr>
              <w:jc w:val="center"/>
              <w:rPr>
                <w:b/>
                <w:color w:val="FFFFFF" w:themeColor="background1"/>
              </w:rPr>
            </w:pPr>
            <w:r w:rsidRPr="002C2CD1">
              <w:rPr>
                <w:b/>
                <w:color w:val="FFFFFF" w:themeColor="background1"/>
              </w:rPr>
              <w:t>Caractéristiques</w:t>
            </w:r>
          </w:p>
        </w:tc>
      </w:tr>
      <w:tr w:rsidR="002C2CD1" w:rsidTr="00F57A68">
        <w:tc>
          <w:tcPr>
            <w:tcW w:w="1980" w:type="dxa"/>
            <w:vAlign w:val="center"/>
          </w:tcPr>
          <w:p w:rsidR="002C2CD1" w:rsidRDefault="002C2CD1" w:rsidP="00F57A68">
            <w:pPr>
              <w:jc w:val="center"/>
            </w:pPr>
            <w:r>
              <w:t>Prêt temporaire de titres d’un prêteur (</w:t>
            </w:r>
            <w:proofErr w:type="spellStart"/>
            <w:r>
              <w:t>Lender</w:t>
            </w:r>
            <w:proofErr w:type="spellEnd"/>
            <w:r>
              <w:t>) au bénéfice d’un emprunteur (</w:t>
            </w:r>
            <w:proofErr w:type="spellStart"/>
            <w:r>
              <w:t>Borrower</w:t>
            </w:r>
            <w:proofErr w:type="spellEnd"/>
            <w:r>
              <w:t>)</w:t>
            </w:r>
          </w:p>
        </w:tc>
        <w:tc>
          <w:tcPr>
            <w:tcW w:w="7796" w:type="dxa"/>
          </w:tcPr>
          <w:p w:rsidR="002C2CD1" w:rsidRDefault="002C2CD1" w:rsidP="002C2CD1">
            <w:pPr>
              <w:pStyle w:val="Paragraphedeliste"/>
              <w:numPr>
                <w:ilvl w:val="0"/>
                <w:numId w:val="1"/>
              </w:numPr>
            </w:pPr>
            <w:r>
              <w:t>Emprunteur procure un collatéral et paye une rémunération (</w:t>
            </w:r>
            <w:proofErr w:type="spellStart"/>
            <w:r>
              <w:t>Borrowing</w:t>
            </w:r>
            <w:proofErr w:type="spellEnd"/>
            <w:r>
              <w:t xml:space="preserve"> </w:t>
            </w:r>
            <w:proofErr w:type="spellStart"/>
            <w:r>
              <w:t>fee</w:t>
            </w:r>
            <w:proofErr w:type="spellEnd"/>
            <w:r>
              <w:t xml:space="preserve">) au prêteur </w:t>
            </w:r>
          </w:p>
          <w:p w:rsidR="002C2CD1" w:rsidRDefault="002C2CD1" w:rsidP="002C2CD1">
            <w:pPr>
              <w:pStyle w:val="Paragraphedeliste"/>
              <w:numPr>
                <w:ilvl w:val="0"/>
                <w:numId w:val="1"/>
              </w:numPr>
            </w:pPr>
            <w:r>
              <w:t xml:space="preserve">Transfert de </w:t>
            </w:r>
            <w:proofErr w:type="spellStart"/>
            <w:r>
              <w:t>proptiété</w:t>
            </w:r>
            <w:proofErr w:type="spellEnd"/>
            <w:r>
              <w:t xml:space="preserve"> (Securities </w:t>
            </w:r>
            <w:proofErr w:type="spellStart"/>
            <w:r>
              <w:t>title</w:t>
            </w:r>
            <w:proofErr w:type="spellEnd"/>
            <w:r>
              <w:t xml:space="preserve"> </w:t>
            </w:r>
            <w:proofErr w:type="spellStart"/>
            <w:r>
              <w:t>transfer</w:t>
            </w:r>
            <w:proofErr w:type="spellEnd"/>
            <w:r>
              <w:t>) prêteur -&gt; emprunteur jusqu’au retour des titres prêtés</w:t>
            </w:r>
          </w:p>
          <w:p w:rsidR="002C2CD1" w:rsidRDefault="002C2CD1" w:rsidP="002C2CD1">
            <w:pPr>
              <w:pStyle w:val="Paragraphedeliste"/>
              <w:numPr>
                <w:ilvl w:val="0"/>
                <w:numId w:val="1"/>
              </w:numPr>
            </w:pPr>
            <w:r>
              <w:t xml:space="preserve">Emprunteur crée </w:t>
            </w:r>
            <w:r>
              <w:rPr>
                <w:b/>
              </w:rPr>
              <w:t>une dette</w:t>
            </w:r>
            <w:r>
              <w:t xml:space="preserve"> (return of </w:t>
            </w:r>
            <w:proofErr w:type="spellStart"/>
            <w:r>
              <w:t>shares</w:t>
            </w:r>
            <w:proofErr w:type="spellEnd"/>
            <w:r>
              <w:t xml:space="preserve">) : obligation de restitution des titres, inscrits </w:t>
            </w:r>
            <w:r>
              <w:rPr>
                <w:b/>
              </w:rPr>
              <w:t>au bilan de l’emprunteur</w:t>
            </w:r>
            <w:r>
              <w:t xml:space="preserve"> au prix de marché au jour du prêt </w:t>
            </w:r>
          </w:p>
          <w:p w:rsidR="002C2CD1" w:rsidRDefault="002C2CD1" w:rsidP="002C2CD1">
            <w:pPr>
              <w:pStyle w:val="Paragraphedeliste"/>
              <w:numPr>
                <w:ilvl w:val="0"/>
                <w:numId w:val="1"/>
              </w:numPr>
            </w:pPr>
            <w:r>
              <w:t xml:space="preserve">Prêteur crée </w:t>
            </w:r>
            <w:r>
              <w:rPr>
                <w:b/>
              </w:rPr>
              <w:t>une créance</w:t>
            </w:r>
            <w:r>
              <w:t xml:space="preserve"> (</w:t>
            </w:r>
            <w:proofErr w:type="spellStart"/>
            <w:r>
              <w:t>receipt</w:t>
            </w:r>
            <w:proofErr w:type="spellEnd"/>
            <w:r>
              <w:t xml:space="preserve"> of </w:t>
            </w:r>
            <w:proofErr w:type="spellStart"/>
            <w:r>
              <w:t>shares</w:t>
            </w:r>
            <w:proofErr w:type="spellEnd"/>
            <w:r>
              <w:t xml:space="preserve">) : Inscrite au </w:t>
            </w:r>
            <w:r>
              <w:rPr>
                <w:b/>
              </w:rPr>
              <w:t>bilan du prêteur</w:t>
            </w:r>
            <w:r>
              <w:t xml:space="preserve"> jusqu’à l’expiration du prêt (restitution des titres prêtés)</w:t>
            </w:r>
          </w:p>
        </w:tc>
      </w:tr>
      <w:tr w:rsidR="002C2CD1" w:rsidTr="002C2CD1">
        <w:tc>
          <w:tcPr>
            <w:tcW w:w="9776" w:type="dxa"/>
            <w:gridSpan w:val="2"/>
            <w:shd w:val="clear" w:color="auto" w:fill="C00000"/>
          </w:tcPr>
          <w:p w:rsidR="002C2CD1" w:rsidRPr="002C2CD1" w:rsidRDefault="002C2CD1" w:rsidP="002C2CD1">
            <w:pPr>
              <w:jc w:val="center"/>
              <w:rPr>
                <w:b/>
                <w:color w:val="FFFFFF" w:themeColor="background1"/>
              </w:rPr>
            </w:pPr>
            <w:r w:rsidRPr="002C2CD1">
              <w:rPr>
                <w:b/>
                <w:color w:val="FFFFFF" w:themeColor="background1"/>
              </w:rPr>
              <w:t>Droits</w:t>
            </w:r>
          </w:p>
        </w:tc>
      </w:tr>
      <w:tr w:rsidR="002C2CD1" w:rsidTr="002C2CD1">
        <w:tc>
          <w:tcPr>
            <w:tcW w:w="9776" w:type="dxa"/>
            <w:gridSpan w:val="2"/>
            <w:shd w:val="clear" w:color="auto" w:fill="auto"/>
          </w:tcPr>
          <w:p w:rsidR="002C2CD1" w:rsidRDefault="00B953BB" w:rsidP="00B953BB">
            <w:pPr>
              <w:pStyle w:val="Paragraphedeliste"/>
              <w:numPr>
                <w:ilvl w:val="0"/>
                <w:numId w:val="1"/>
              </w:numPr>
            </w:pPr>
            <w:r>
              <w:t xml:space="preserve">Prêteur conserve toujours le </w:t>
            </w:r>
            <w:r>
              <w:rPr>
                <w:b/>
              </w:rPr>
              <w:t xml:space="preserve">bénéfice économique </w:t>
            </w:r>
            <w:r>
              <w:t>des titres prêtés</w:t>
            </w:r>
            <w:r w:rsidR="00EC628B">
              <w:t xml:space="preserve"> </w:t>
            </w:r>
            <w:r w:rsidR="00EC628B">
              <w:t>c’est-à-dire le dividende, le coupon</w:t>
            </w:r>
            <w:r w:rsidR="00EC628B">
              <w:t>. L’emprunteur perçoit un dividende manufacturé qui devra être rendu</w:t>
            </w:r>
          </w:p>
          <w:p w:rsidR="00B953BB" w:rsidRDefault="00B953BB" w:rsidP="00B953BB">
            <w:pPr>
              <w:pStyle w:val="Paragraphedeliste"/>
              <w:numPr>
                <w:ilvl w:val="0"/>
                <w:numId w:val="1"/>
              </w:numPr>
            </w:pPr>
            <w:r>
              <w:t xml:space="preserve">Prêts valorisés en </w:t>
            </w:r>
            <w:proofErr w:type="spellStart"/>
            <w:r>
              <w:t>MtoM</w:t>
            </w:r>
            <w:proofErr w:type="spellEnd"/>
            <w:r>
              <w:t xml:space="preserve"> et collatéraux ajustés en conséquence chaque jour</w:t>
            </w:r>
          </w:p>
          <w:p w:rsidR="00B953BB" w:rsidRDefault="00B953BB" w:rsidP="00B953BB">
            <w:pPr>
              <w:pStyle w:val="Paragraphedeliste"/>
              <w:numPr>
                <w:ilvl w:val="0"/>
                <w:numId w:val="1"/>
              </w:numPr>
            </w:pPr>
            <w:r>
              <w:t xml:space="preserve">Prêteur intégralement indemnisé pour toute « distribution » sur les titres prêtés (OST) : Si coupon tombe à échéance durant le prêt, l’emprunteur a droit au revenu </w:t>
            </w:r>
            <w:r>
              <w:rPr>
                <w:b/>
              </w:rPr>
              <w:t>mais</w:t>
            </w:r>
            <w:r>
              <w:t xml:space="preserve"> doit restitué en même temps que les titres, une compensation appelée « </w:t>
            </w:r>
            <w:r>
              <w:rPr>
                <w:b/>
              </w:rPr>
              <w:t>indemnité pour coupon manquant</w:t>
            </w:r>
            <w:r>
              <w:t> » au prêteur</w:t>
            </w:r>
          </w:p>
          <w:p w:rsidR="00B953BB" w:rsidRDefault="00B953BB" w:rsidP="00B953BB">
            <w:pPr>
              <w:pStyle w:val="Paragraphedeliste"/>
              <w:numPr>
                <w:ilvl w:val="0"/>
                <w:numId w:val="1"/>
              </w:numPr>
            </w:pPr>
            <w:r>
              <w:t xml:space="preserve">Prêteur abandonne son droit de vente : Prêt de titres = cession temporaire. </w:t>
            </w:r>
            <w:r w:rsidR="005C2609">
              <w:t>Tous droits préférentiels attachés au titre sont perdus par conséquent (ex : droit de vote double)</w:t>
            </w:r>
          </w:p>
          <w:p w:rsidR="005C2609" w:rsidRDefault="005C2609" w:rsidP="00B953BB">
            <w:pPr>
              <w:pStyle w:val="Paragraphedeliste"/>
              <w:numPr>
                <w:ilvl w:val="0"/>
                <w:numId w:val="1"/>
              </w:numPr>
            </w:pPr>
            <w:r>
              <w:t>Prêteur peut vendre les titres empruntés à tout moment (</w:t>
            </w:r>
            <w:proofErr w:type="spellStart"/>
            <w:r>
              <w:t>recall</w:t>
            </w:r>
            <w:proofErr w:type="spellEnd"/>
            <w:r>
              <w:t xml:space="preserve"> si besoin)</w:t>
            </w:r>
          </w:p>
          <w:p w:rsidR="005C2609" w:rsidRPr="002C2CD1" w:rsidRDefault="005C2609" w:rsidP="005C2609">
            <w:pPr>
              <w:pStyle w:val="Paragraphedeliste"/>
              <w:numPr>
                <w:ilvl w:val="0"/>
                <w:numId w:val="1"/>
              </w:numPr>
            </w:pPr>
            <w:r>
              <w:t>Emprunteur peut retourner les titres empruntés à tout moment (sauf clause spécifique)</w:t>
            </w:r>
          </w:p>
        </w:tc>
      </w:tr>
      <w:tr w:rsidR="007955F5" w:rsidTr="007955F5">
        <w:tc>
          <w:tcPr>
            <w:tcW w:w="9776" w:type="dxa"/>
            <w:gridSpan w:val="2"/>
            <w:shd w:val="clear" w:color="auto" w:fill="C00000"/>
          </w:tcPr>
          <w:p w:rsidR="007955F5" w:rsidRPr="007955F5" w:rsidRDefault="007955F5" w:rsidP="007955F5">
            <w:pPr>
              <w:pStyle w:val="Paragraphedeliste"/>
              <w:jc w:val="center"/>
              <w:rPr>
                <w:b/>
              </w:rPr>
            </w:pPr>
            <w:proofErr w:type="spellStart"/>
            <w:r w:rsidRPr="007955F5">
              <w:rPr>
                <w:b/>
                <w:color w:val="FFFFFF" w:themeColor="background1"/>
              </w:rPr>
              <w:t>Collateral</w:t>
            </w:r>
            <w:proofErr w:type="spellEnd"/>
          </w:p>
        </w:tc>
      </w:tr>
      <w:tr w:rsidR="007955F5" w:rsidTr="002C2CD1">
        <w:tc>
          <w:tcPr>
            <w:tcW w:w="9776" w:type="dxa"/>
            <w:gridSpan w:val="2"/>
            <w:shd w:val="clear" w:color="auto" w:fill="auto"/>
          </w:tcPr>
          <w:p w:rsidR="007955F5" w:rsidRDefault="007955F5" w:rsidP="007955F5">
            <w:pPr>
              <w:pStyle w:val="Paragraphedeliste"/>
            </w:pPr>
            <w:r>
              <w:t xml:space="preserve">Prêt de titre = Cession temporaire d’un actif en échange de la </w:t>
            </w:r>
            <w:r>
              <w:rPr>
                <w:b/>
              </w:rPr>
              <w:t>remise en garantie d’un collatéral</w:t>
            </w:r>
            <w:r>
              <w:t xml:space="preserve"> (sinon = prêt sec)</w:t>
            </w:r>
          </w:p>
          <w:p w:rsidR="007955F5" w:rsidRDefault="007955F5" w:rsidP="007955F5">
            <w:pPr>
              <w:pStyle w:val="Paragraphedeliste"/>
              <w:numPr>
                <w:ilvl w:val="0"/>
                <w:numId w:val="1"/>
              </w:numPr>
            </w:pPr>
            <w:r>
              <w:t xml:space="preserve">Taux de </w:t>
            </w:r>
            <w:proofErr w:type="spellStart"/>
            <w:r>
              <w:t>collatéralisation</w:t>
            </w:r>
            <w:proofErr w:type="spellEnd"/>
            <w:r>
              <w:t xml:space="preserve"> diffère selon la classe d’actif </w:t>
            </w:r>
          </w:p>
          <w:p w:rsidR="007955F5" w:rsidRDefault="007955F5" w:rsidP="007955F5">
            <w:pPr>
              <w:pStyle w:val="Paragraphedeliste"/>
              <w:numPr>
                <w:ilvl w:val="0"/>
                <w:numId w:val="1"/>
              </w:numPr>
            </w:pPr>
            <w:r>
              <w:t>Matrice de collatéral définit le champs des collatéraux possibles</w:t>
            </w:r>
          </w:p>
          <w:p w:rsidR="007955F5" w:rsidRPr="007955F5" w:rsidRDefault="007955F5" w:rsidP="007955F5">
            <w:pPr>
              <w:pStyle w:val="Paragraphedeliste"/>
              <w:numPr>
                <w:ilvl w:val="0"/>
                <w:numId w:val="1"/>
              </w:numPr>
            </w:pPr>
            <w:r>
              <w:t>TPA (</w:t>
            </w:r>
            <w:proofErr w:type="spellStart"/>
            <w:r>
              <w:t>Third</w:t>
            </w:r>
            <w:proofErr w:type="spellEnd"/>
            <w:r>
              <w:t xml:space="preserve"> Party Agents)</w:t>
            </w:r>
          </w:p>
        </w:tc>
      </w:tr>
      <w:tr w:rsidR="00BB7E98" w:rsidTr="00BB7E98">
        <w:tc>
          <w:tcPr>
            <w:tcW w:w="9776" w:type="dxa"/>
            <w:gridSpan w:val="2"/>
            <w:shd w:val="clear" w:color="auto" w:fill="C00000"/>
          </w:tcPr>
          <w:p w:rsidR="00BB7E98" w:rsidRPr="00BB7E98" w:rsidRDefault="00BB7E98" w:rsidP="00BB7E98">
            <w:pPr>
              <w:pStyle w:val="Paragraphedeliste"/>
              <w:jc w:val="center"/>
              <w:rPr>
                <w:b/>
              </w:rPr>
            </w:pPr>
            <w:r w:rsidRPr="00BB7E98">
              <w:rPr>
                <w:b/>
                <w:color w:val="FFFFFF" w:themeColor="background1"/>
              </w:rPr>
              <w:t>Motivations</w:t>
            </w:r>
          </w:p>
        </w:tc>
      </w:tr>
      <w:tr w:rsidR="00BB7E98" w:rsidTr="00BB7E98">
        <w:tc>
          <w:tcPr>
            <w:tcW w:w="9776" w:type="dxa"/>
            <w:gridSpan w:val="2"/>
            <w:shd w:val="clear" w:color="auto" w:fill="auto"/>
          </w:tcPr>
          <w:p w:rsidR="00BB7E98" w:rsidRDefault="00BB7E98" w:rsidP="00BB7E98">
            <w:pPr>
              <w:pStyle w:val="Paragraphedeliste"/>
              <w:numPr>
                <w:ilvl w:val="0"/>
                <w:numId w:val="1"/>
              </w:numPr>
            </w:pPr>
            <w:r>
              <w:t>Assurer les obligations de R/L dans le marché</w:t>
            </w:r>
          </w:p>
          <w:p w:rsidR="00BB7E98" w:rsidRDefault="00BB7E98" w:rsidP="00BB7E98">
            <w:pPr>
              <w:pStyle w:val="Paragraphedeliste"/>
              <w:numPr>
                <w:ilvl w:val="0"/>
                <w:numId w:val="1"/>
              </w:numPr>
            </w:pPr>
            <w:r>
              <w:t xml:space="preserve">Accompagner une stratégie de trading (vente à découvert / short </w:t>
            </w:r>
            <w:proofErr w:type="spellStart"/>
            <w:r>
              <w:t>selling</w:t>
            </w:r>
            <w:proofErr w:type="spellEnd"/>
            <w:r>
              <w:t>)</w:t>
            </w:r>
          </w:p>
          <w:p w:rsidR="00BB7E98" w:rsidRPr="00BB7E98" w:rsidRDefault="00F57A68" w:rsidP="00BB7E98">
            <w:pPr>
              <w:pStyle w:val="Paragraphedeliste"/>
              <w:numPr>
                <w:ilvl w:val="0"/>
                <w:numId w:val="1"/>
              </w:numPr>
            </w:pPr>
            <w:r>
              <w:t>Financer une position longue (</w:t>
            </w:r>
            <w:proofErr w:type="spellStart"/>
            <w:r>
              <w:t>fund</w:t>
            </w:r>
            <w:proofErr w:type="spellEnd"/>
            <w:r>
              <w:t xml:space="preserve"> long </w:t>
            </w:r>
            <w:proofErr w:type="spellStart"/>
            <w:r>
              <w:t>securities</w:t>
            </w:r>
            <w:proofErr w:type="spellEnd"/>
            <w:r>
              <w:t xml:space="preserve"> holdings)</w:t>
            </w:r>
          </w:p>
        </w:tc>
      </w:tr>
    </w:tbl>
    <w:p w:rsidR="008D07F0" w:rsidRDefault="00AE1465" w:rsidP="008D07F0">
      <w:r>
        <w:lastRenderedPageBreak/>
        <w:t>Le prêt de titres procure au prêter une rémunération additionnelle à un portefeuille avec des risques faibles attachés : Due diligence, contrat juridique, référencement / analyse de crédit</w:t>
      </w:r>
    </w:p>
    <w:p w:rsidR="00AE1465" w:rsidRDefault="00AE1465" w:rsidP="008D07F0">
      <w:pPr>
        <w:rPr>
          <w:i/>
        </w:rPr>
      </w:pPr>
      <w:r>
        <w:rPr>
          <w:i/>
        </w:rPr>
        <w:t xml:space="preserve">Acteurs du marché </w:t>
      </w:r>
    </w:p>
    <w:p w:rsidR="00AE1465" w:rsidRDefault="00AE1465" w:rsidP="008D07F0">
      <w:r>
        <w:t>Beaucoup d’intervenants car SL n’est pas une activité de base</w:t>
      </w:r>
    </w:p>
    <w:tbl>
      <w:tblPr>
        <w:tblStyle w:val="Grilledutableau"/>
        <w:tblW w:w="10123" w:type="dxa"/>
        <w:tblLook w:val="04A0" w:firstRow="1" w:lastRow="0" w:firstColumn="1" w:lastColumn="0" w:noHBand="0" w:noVBand="1"/>
      </w:tblPr>
      <w:tblGrid>
        <w:gridCol w:w="2405"/>
        <w:gridCol w:w="2552"/>
        <w:gridCol w:w="2551"/>
        <w:gridCol w:w="2615"/>
      </w:tblGrid>
      <w:tr w:rsidR="00AE1465" w:rsidTr="00517130">
        <w:trPr>
          <w:trHeight w:val="260"/>
        </w:trPr>
        <w:tc>
          <w:tcPr>
            <w:tcW w:w="2405" w:type="dxa"/>
            <w:shd w:val="clear" w:color="auto" w:fill="C00000"/>
          </w:tcPr>
          <w:p w:rsidR="00AE1465" w:rsidRPr="00517130" w:rsidRDefault="00AE1465" w:rsidP="00517130">
            <w:pPr>
              <w:jc w:val="center"/>
              <w:rPr>
                <w:b/>
                <w:color w:val="FFFFFF" w:themeColor="background1"/>
              </w:rPr>
            </w:pPr>
            <w:r w:rsidRPr="00517130">
              <w:rPr>
                <w:b/>
                <w:color w:val="FFFFFF" w:themeColor="background1"/>
              </w:rPr>
              <w:t>Offre</w:t>
            </w:r>
          </w:p>
        </w:tc>
        <w:tc>
          <w:tcPr>
            <w:tcW w:w="5103" w:type="dxa"/>
            <w:gridSpan w:val="2"/>
            <w:shd w:val="clear" w:color="auto" w:fill="C00000"/>
          </w:tcPr>
          <w:p w:rsidR="00AE1465" w:rsidRPr="00517130" w:rsidRDefault="00AE1465" w:rsidP="00517130">
            <w:pPr>
              <w:jc w:val="center"/>
              <w:rPr>
                <w:b/>
                <w:color w:val="FFFFFF" w:themeColor="background1"/>
              </w:rPr>
            </w:pPr>
            <w:r w:rsidRPr="00517130">
              <w:rPr>
                <w:b/>
                <w:color w:val="FFFFFF" w:themeColor="background1"/>
              </w:rPr>
              <w:t xml:space="preserve">Contrôle du </w:t>
            </w:r>
            <w:proofErr w:type="spellStart"/>
            <w:r w:rsidRPr="00517130">
              <w:rPr>
                <w:b/>
                <w:color w:val="FFFFFF" w:themeColor="background1"/>
              </w:rPr>
              <w:t>process</w:t>
            </w:r>
            <w:proofErr w:type="spellEnd"/>
          </w:p>
        </w:tc>
        <w:tc>
          <w:tcPr>
            <w:tcW w:w="2615" w:type="dxa"/>
            <w:shd w:val="clear" w:color="auto" w:fill="C00000"/>
          </w:tcPr>
          <w:p w:rsidR="00AE1465" w:rsidRPr="00517130" w:rsidRDefault="00AE1465" w:rsidP="00517130">
            <w:pPr>
              <w:jc w:val="center"/>
              <w:rPr>
                <w:b/>
                <w:color w:val="FFFFFF" w:themeColor="background1"/>
              </w:rPr>
            </w:pPr>
            <w:r w:rsidRPr="00517130">
              <w:rPr>
                <w:b/>
                <w:color w:val="FFFFFF" w:themeColor="background1"/>
              </w:rPr>
              <w:t>Demande</w:t>
            </w:r>
          </w:p>
        </w:tc>
      </w:tr>
      <w:tr w:rsidR="00AE1465" w:rsidTr="00517130">
        <w:trPr>
          <w:trHeight w:val="506"/>
        </w:trPr>
        <w:tc>
          <w:tcPr>
            <w:tcW w:w="2405" w:type="dxa"/>
            <w:shd w:val="clear" w:color="auto" w:fill="A6A6A6" w:themeFill="background1" w:themeFillShade="A6"/>
          </w:tcPr>
          <w:p w:rsidR="00AE1465" w:rsidRPr="00517130" w:rsidRDefault="00AE1465" w:rsidP="00AE1465">
            <w:pPr>
              <w:rPr>
                <w:b/>
                <w:color w:val="FFFFFF" w:themeColor="background1"/>
              </w:rPr>
            </w:pPr>
            <w:r w:rsidRPr="00517130">
              <w:rPr>
                <w:b/>
                <w:color w:val="FFFFFF" w:themeColor="background1"/>
              </w:rPr>
              <w:t>Prêteur</w:t>
            </w:r>
            <w:r w:rsidR="00517130" w:rsidRPr="00517130">
              <w:rPr>
                <w:b/>
                <w:color w:val="FFFFFF" w:themeColor="background1"/>
              </w:rPr>
              <w:t>s - Propriétaires effectifs</w:t>
            </w:r>
          </w:p>
        </w:tc>
        <w:tc>
          <w:tcPr>
            <w:tcW w:w="2552" w:type="dxa"/>
            <w:shd w:val="clear" w:color="auto" w:fill="A6A6A6" w:themeFill="background1" w:themeFillShade="A6"/>
          </w:tcPr>
          <w:p w:rsidR="00AE1465" w:rsidRPr="00517130" w:rsidRDefault="00AE1465" w:rsidP="00AE1465">
            <w:pPr>
              <w:rPr>
                <w:b/>
                <w:color w:val="FFFFFF" w:themeColor="background1"/>
              </w:rPr>
            </w:pPr>
            <w:r w:rsidRPr="00517130">
              <w:rPr>
                <w:b/>
                <w:color w:val="FFFFFF" w:themeColor="background1"/>
              </w:rPr>
              <w:t>Agents intermédiaires</w:t>
            </w:r>
          </w:p>
        </w:tc>
        <w:tc>
          <w:tcPr>
            <w:tcW w:w="2551" w:type="dxa"/>
            <w:shd w:val="clear" w:color="auto" w:fill="A6A6A6" w:themeFill="background1" w:themeFillShade="A6"/>
          </w:tcPr>
          <w:p w:rsidR="00AE1465" w:rsidRPr="00517130" w:rsidRDefault="00AE1465" w:rsidP="00AE1465">
            <w:pPr>
              <w:rPr>
                <w:b/>
                <w:color w:val="FFFFFF" w:themeColor="background1"/>
              </w:rPr>
            </w:pPr>
            <w:r w:rsidRPr="00517130">
              <w:rPr>
                <w:b/>
                <w:color w:val="FFFFFF" w:themeColor="background1"/>
              </w:rPr>
              <w:t xml:space="preserve">Investment </w:t>
            </w:r>
            <w:proofErr w:type="spellStart"/>
            <w:r w:rsidRPr="00517130">
              <w:rPr>
                <w:b/>
                <w:color w:val="FFFFFF" w:themeColor="background1"/>
              </w:rPr>
              <w:t>banks</w:t>
            </w:r>
            <w:proofErr w:type="spellEnd"/>
            <w:r w:rsidRPr="00517130">
              <w:rPr>
                <w:b/>
                <w:color w:val="FFFFFF" w:themeColor="background1"/>
              </w:rPr>
              <w:t xml:space="preserve"> / Brokers</w:t>
            </w:r>
          </w:p>
        </w:tc>
        <w:tc>
          <w:tcPr>
            <w:tcW w:w="2615" w:type="dxa"/>
            <w:shd w:val="clear" w:color="auto" w:fill="A6A6A6" w:themeFill="background1" w:themeFillShade="A6"/>
          </w:tcPr>
          <w:p w:rsidR="00AE1465" w:rsidRPr="00517130" w:rsidRDefault="00517130" w:rsidP="00AE1465">
            <w:pPr>
              <w:rPr>
                <w:b/>
                <w:color w:val="FFFFFF" w:themeColor="background1"/>
              </w:rPr>
            </w:pPr>
            <w:r w:rsidRPr="00517130">
              <w:rPr>
                <w:b/>
                <w:color w:val="FFFFFF" w:themeColor="background1"/>
              </w:rPr>
              <w:t>Traders - Emprunteurs finaux</w:t>
            </w:r>
          </w:p>
        </w:tc>
      </w:tr>
      <w:tr w:rsidR="00AE1465" w:rsidRPr="00517130" w:rsidTr="00517130">
        <w:trPr>
          <w:trHeight w:val="3101"/>
        </w:trPr>
        <w:tc>
          <w:tcPr>
            <w:tcW w:w="2405" w:type="dxa"/>
          </w:tcPr>
          <w:p w:rsidR="00517130" w:rsidRPr="00517130" w:rsidRDefault="00517130" w:rsidP="00517130">
            <w:pPr>
              <w:rPr>
                <w:lang w:val="en-US"/>
              </w:rPr>
            </w:pPr>
            <w:r w:rsidRPr="00517130">
              <w:rPr>
                <w:lang w:val="en-US"/>
              </w:rPr>
              <w:t>•Pension Funds</w:t>
            </w:r>
          </w:p>
          <w:p w:rsidR="00517130" w:rsidRPr="00517130" w:rsidRDefault="00517130" w:rsidP="00517130">
            <w:pPr>
              <w:rPr>
                <w:lang w:val="en-US"/>
              </w:rPr>
            </w:pPr>
            <w:r w:rsidRPr="00517130">
              <w:rPr>
                <w:lang w:val="en-US"/>
              </w:rPr>
              <w:t>•Mutual Funds</w:t>
            </w:r>
          </w:p>
          <w:p w:rsidR="00517130" w:rsidRPr="00517130" w:rsidRDefault="00517130" w:rsidP="00517130">
            <w:pPr>
              <w:rPr>
                <w:lang w:val="en-US"/>
              </w:rPr>
            </w:pPr>
            <w:r w:rsidRPr="00517130">
              <w:rPr>
                <w:lang w:val="en-US"/>
              </w:rPr>
              <w:t>•Insurers</w:t>
            </w:r>
          </w:p>
          <w:p w:rsidR="00517130" w:rsidRPr="00517130" w:rsidRDefault="00517130" w:rsidP="00517130">
            <w:pPr>
              <w:rPr>
                <w:lang w:val="en-US"/>
              </w:rPr>
            </w:pPr>
            <w:r w:rsidRPr="00517130">
              <w:rPr>
                <w:lang w:val="en-US"/>
              </w:rPr>
              <w:t>•Corporations</w:t>
            </w:r>
          </w:p>
          <w:p w:rsidR="00517130" w:rsidRPr="00517130" w:rsidRDefault="00517130" w:rsidP="00517130">
            <w:pPr>
              <w:rPr>
                <w:lang w:val="en-US"/>
              </w:rPr>
            </w:pPr>
            <w:r w:rsidRPr="00517130">
              <w:rPr>
                <w:lang w:val="en-US"/>
              </w:rPr>
              <w:t>•High net worth</w:t>
            </w:r>
          </w:p>
          <w:p w:rsidR="00517130" w:rsidRPr="00517130" w:rsidRDefault="00517130" w:rsidP="00517130">
            <w:pPr>
              <w:rPr>
                <w:lang w:val="en-US"/>
              </w:rPr>
            </w:pPr>
            <w:r w:rsidRPr="00517130">
              <w:rPr>
                <w:lang w:val="en-US"/>
              </w:rPr>
              <w:t>•Government investment companies</w:t>
            </w:r>
          </w:p>
          <w:p w:rsidR="00AE1465" w:rsidRDefault="00517130" w:rsidP="00517130">
            <w:r>
              <w:t>•</w:t>
            </w:r>
            <w:proofErr w:type="spellStart"/>
            <w:r>
              <w:t>Etc</w:t>
            </w:r>
            <w:proofErr w:type="spellEnd"/>
          </w:p>
        </w:tc>
        <w:tc>
          <w:tcPr>
            <w:tcW w:w="2552" w:type="dxa"/>
          </w:tcPr>
          <w:p w:rsidR="00517130" w:rsidRPr="00517130" w:rsidRDefault="00517130" w:rsidP="00517130">
            <w:pPr>
              <w:rPr>
                <w:lang w:val="en-US"/>
              </w:rPr>
            </w:pPr>
            <w:r w:rsidRPr="00517130">
              <w:rPr>
                <w:lang w:val="en-US"/>
              </w:rPr>
              <w:t>•</w:t>
            </w:r>
            <w:proofErr w:type="spellStart"/>
            <w:r w:rsidRPr="00517130">
              <w:rPr>
                <w:lang w:val="en-US"/>
              </w:rPr>
              <w:t>Banques</w:t>
            </w:r>
            <w:proofErr w:type="spellEnd"/>
            <w:r w:rsidRPr="00517130">
              <w:rPr>
                <w:lang w:val="en-US"/>
              </w:rPr>
              <w:t xml:space="preserve"> </w:t>
            </w:r>
            <w:proofErr w:type="spellStart"/>
            <w:r w:rsidRPr="00517130">
              <w:rPr>
                <w:lang w:val="en-US"/>
              </w:rPr>
              <w:t>dépositaires</w:t>
            </w:r>
            <w:proofErr w:type="spellEnd"/>
            <w:r w:rsidRPr="00517130">
              <w:rPr>
                <w:lang w:val="en-US"/>
              </w:rPr>
              <w:t xml:space="preserve"> (custodian banks)</w:t>
            </w:r>
          </w:p>
          <w:p w:rsidR="00AE1465" w:rsidRPr="00517130" w:rsidRDefault="00517130" w:rsidP="00517130">
            <w:pPr>
              <w:rPr>
                <w:lang w:val="en-US"/>
              </w:rPr>
            </w:pPr>
            <w:r w:rsidRPr="00517130">
              <w:rPr>
                <w:lang w:val="en-US"/>
              </w:rPr>
              <w:t>•Agent tri-</w:t>
            </w:r>
            <w:proofErr w:type="spellStart"/>
            <w:r w:rsidRPr="00517130">
              <w:rPr>
                <w:lang w:val="en-US"/>
              </w:rPr>
              <w:t>partie</w:t>
            </w:r>
            <w:proofErr w:type="spellEnd"/>
            <w:r w:rsidRPr="00517130">
              <w:rPr>
                <w:lang w:val="en-US"/>
              </w:rPr>
              <w:t xml:space="preserve"> (third party lenders</w:t>
            </w:r>
          </w:p>
        </w:tc>
        <w:tc>
          <w:tcPr>
            <w:tcW w:w="2551" w:type="dxa"/>
          </w:tcPr>
          <w:p w:rsidR="00517130" w:rsidRPr="00517130" w:rsidRDefault="00517130" w:rsidP="00517130">
            <w:r w:rsidRPr="00517130">
              <w:t>•Banques d'investissement</w:t>
            </w:r>
          </w:p>
          <w:p w:rsidR="00517130" w:rsidRPr="00517130" w:rsidRDefault="00517130" w:rsidP="00517130">
            <w:r w:rsidRPr="00517130">
              <w:t>•Broker - dealers</w:t>
            </w:r>
          </w:p>
          <w:p w:rsidR="00517130" w:rsidRPr="00517130" w:rsidRDefault="00517130" w:rsidP="00517130">
            <w:r w:rsidRPr="00517130">
              <w:t>•Prime brokers</w:t>
            </w:r>
          </w:p>
          <w:p w:rsidR="00AE1465" w:rsidRPr="00517130" w:rsidRDefault="00517130" w:rsidP="00517130">
            <w:r w:rsidRPr="00517130">
              <w:t>•Intermédiaires spécialiste</w:t>
            </w:r>
          </w:p>
        </w:tc>
        <w:tc>
          <w:tcPr>
            <w:tcW w:w="2615" w:type="dxa"/>
          </w:tcPr>
          <w:p w:rsidR="00517130" w:rsidRPr="00517130" w:rsidRDefault="00517130" w:rsidP="00517130">
            <w:pPr>
              <w:rPr>
                <w:lang w:val="en-US"/>
              </w:rPr>
            </w:pPr>
            <w:r w:rsidRPr="00517130">
              <w:rPr>
                <w:lang w:val="en-US"/>
              </w:rPr>
              <w:t>•Market Makers</w:t>
            </w:r>
          </w:p>
          <w:p w:rsidR="00517130" w:rsidRPr="00517130" w:rsidRDefault="00517130" w:rsidP="00517130">
            <w:pPr>
              <w:rPr>
                <w:lang w:val="en-US"/>
              </w:rPr>
            </w:pPr>
            <w:r w:rsidRPr="00517130">
              <w:rPr>
                <w:lang w:val="en-US"/>
              </w:rPr>
              <w:t>•Hedge Fund</w:t>
            </w:r>
          </w:p>
          <w:p w:rsidR="00517130" w:rsidRPr="00517130" w:rsidRDefault="00517130" w:rsidP="00517130">
            <w:pPr>
              <w:rPr>
                <w:lang w:val="en-US"/>
              </w:rPr>
            </w:pPr>
            <w:r w:rsidRPr="00517130">
              <w:rPr>
                <w:lang w:val="en-US"/>
              </w:rPr>
              <w:t>•Absolute Return Funds</w:t>
            </w:r>
          </w:p>
          <w:p w:rsidR="00517130" w:rsidRPr="00517130" w:rsidRDefault="00517130" w:rsidP="00517130">
            <w:pPr>
              <w:rPr>
                <w:lang w:val="en-US"/>
              </w:rPr>
            </w:pPr>
            <w:r w:rsidRPr="00517130">
              <w:rPr>
                <w:lang w:val="en-US"/>
              </w:rPr>
              <w:t>•Trader short</w:t>
            </w:r>
          </w:p>
          <w:p w:rsidR="00517130" w:rsidRPr="00517130" w:rsidRDefault="00517130" w:rsidP="00517130">
            <w:pPr>
              <w:rPr>
                <w:lang w:val="en-US"/>
              </w:rPr>
            </w:pPr>
            <w:r w:rsidRPr="00517130">
              <w:rPr>
                <w:lang w:val="en-US"/>
              </w:rPr>
              <w:t xml:space="preserve">•Trader </w:t>
            </w:r>
            <w:proofErr w:type="spellStart"/>
            <w:r w:rsidRPr="00517130">
              <w:rPr>
                <w:lang w:val="en-US"/>
              </w:rPr>
              <w:t>arbitragiste</w:t>
            </w:r>
            <w:proofErr w:type="spellEnd"/>
          </w:p>
          <w:p w:rsidR="00517130" w:rsidRPr="00517130" w:rsidRDefault="00517130" w:rsidP="00517130">
            <w:pPr>
              <w:rPr>
                <w:lang w:val="en-US"/>
              </w:rPr>
            </w:pPr>
            <w:r w:rsidRPr="00517130">
              <w:rPr>
                <w:lang w:val="en-US"/>
              </w:rPr>
              <w:t>•Proprietary Traders</w:t>
            </w:r>
          </w:p>
          <w:p w:rsidR="00517130" w:rsidRPr="00517130" w:rsidRDefault="00517130" w:rsidP="00517130">
            <w:pPr>
              <w:rPr>
                <w:lang w:val="en-US"/>
              </w:rPr>
            </w:pPr>
            <w:r w:rsidRPr="00517130">
              <w:rPr>
                <w:lang w:val="en-US"/>
              </w:rPr>
              <w:t>•Other brokers</w:t>
            </w:r>
          </w:p>
          <w:p w:rsidR="00517130" w:rsidRPr="00517130" w:rsidRDefault="00517130" w:rsidP="00517130">
            <w:r w:rsidRPr="00517130">
              <w:t>•Banques d'investissement</w:t>
            </w:r>
          </w:p>
          <w:p w:rsidR="00517130" w:rsidRPr="00517130" w:rsidRDefault="00517130" w:rsidP="00517130">
            <w:r w:rsidRPr="00517130">
              <w:t>•Customer Short</w:t>
            </w:r>
          </w:p>
          <w:p w:rsidR="00AE1465" w:rsidRPr="00517130" w:rsidRDefault="00517130" w:rsidP="00517130">
            <w:r w:rsidRPr="00517130">
              <w:t>•</w:t>
            </w:r>
            <w:proofErr w:type="spellStart"/>
            <w:r w:rsidRPr="00517130">
              <w:t>Etc</w:t>
            </w:r>
            <w:proofErr w:type="spellEnd"/>
          </w:p>
        </w:tc>
      </w:tr>
    </w:tbl>
    <w:p w:rsidR="00AE1465" w:rsidRDefault="00AE1465" w:rsidP="008D07F0"/>
    <w:p w:rsidR="00517130" w:rsidRPr="00517130" w:rsidRDefault="00517130" w:rsidP="008D07F0"/>
    <w:p w:rsidR="007955F5" w:rsidRDefault="00517130" w:rsidP="008D07F0">
      <w:pPr>
        <w:rPr>
          <w:i/>
        </w:rPr>
      </w:pPr>
      <w:r>
        <w:rPr>
          <w:i/>
        </w:rPr>
        <w:t xml:space="preserve">La demande </w:t>
      </w:r>
    </w:p>
    <w:p w:rsidR="00517130" w:rsidRDefault="00517130" w:rsidP="008D07F0">
      <w:r>
        <w:rPr>
          <w:noProof/>
          <w:lang w:eastAsia="fr-FR"/>
        </w:rPr>
        <w:drawing>
          <wp:inline distT="0" distB="0" distL="0" distR="0" wp14:anchorId="28A909DF" wp14:editId="033C6AE0">
            <wp:extent cx="5760720" cy="307213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72130"/>
                    </a:xfrm>
                    <a:prstGeom prst="rect">
                      <a:avLst/>
                    </a:prstGeom>
                  </pic:spPr>
                </pic:pic>
              </a:graphicData>
            </a:graphic>
          </wp:inline>
        </w:drawing>
      </w:r>
    </w:p>
    <w:p w:rsidR="00517130" w:rsidRDefault="00517130" w:rsidP="008D07F0"/>
    <w:p w:rsidR="00517130" w:rsidRDefault="00517130" w:rsidP="008D07F0"/>
    <w:p w:rsidR="00517130" w:rsidRDefault="00517130" w:rsidP="008D07F0"/>
    <w:p w:rsidR="00517130" w:rsidRDefault="00517130" w:rsidP="008D07F0"/>
    <w:p w:rsidR="00517130" w:rsidRPr="00517130" w:rsidRDefault="00517130" w:rsidP="00517130">
      <w:pPr>
        <w:rPr>
          <w:i/>
        </w:rPr>
      </w:pPr>
      <w:r w:rsidRPr="00517130">
        <w:rPr>
          <w:i/>
          <w:noProof/>
          <w:lang w:eastAsia="fr-FR"/>
        </w:rPr>
        <w:lastRenderedPageBreak/>
        <w:drawing>
          <wp:anchor distT="0" distB="0" distL="114300" distR="114300" simplePos="0" relativeHeight="251663360" behindDoc="0" locked="0" layoutInCell="1" allowOverlap="1" wp14:anchorId="5F95E3F0" wp14:editId="14566135">
            <wp:simplePos x="0" y="0"/>
            <wp:positionH relativeFrom="column">
              <wp:posOffset>-728345</wp:posOffset>
            </wp:positionH>
            <wp:positionV relativeFrom="paragraph">
              <wp:posOffset>281305</wp:posOffset>
            </wp:positionV>
            <wp:extent cx="7219950" cy="3124200"/>
            <wp:effectExtent l="19050" t="19050" r="38100" b="19050"/>
            <wp:wrapSquare wrapText="bothSides"/>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Pr="00517130">
        <w:rPr>
          <w:i/>
        </w:rPr>
        <w:t>Etapes du SL :</w:t>
      </w:r>
    </w:p>
    <w:p w:rsidR="00517130" w:rsidRDefault="00517130" w:rsidP="008D07F0"/>
    <w:p w:rsidR="008460D0" w:rsidRDefault="008460D0" w:rsidP="008D07F0">
      <w:pPr>
        <w:rPr>
          <w:i/>
        </w:rPr>
      </w:pPr>
      <w:r>
        <w:rPr>
          <w:i/>
        </w:rPr>
        <w:t xml:space="preserve">Les flux cash et non cash </w:t>
      </w:r>
    </w:p>
    <w:p w:rsidR="008460D0" w:rsidRDefault="008460D0" w:rsidP="008D07F0">
      <w:r>
        <w:t xml:space="preserve">Les banques dépositaires sont les principaux </w:t>
      </w:r>
      <w:proofErr w:type="spellStart"/>
      <w:r>
        <w:t>lending</w:t>
      </w:r>
      <w:proofErr w:type="spellEnd"/>
      <w:r>
        <w:t xml:space="preserve"> agents du marché</w:t>
      </w:r>
    </w:p>
    <w:p w:rsidR="008460D0" w:rsidRDefault="008460D0" w:rsidP="008D07F0"/>
    <w:p w:rsidR="008460D0" w:rsidRDefault="008460D0" w:rsidP="008D07F0">
      <w:r>
        <w:rPr>
          <w:noProof/>
          <w:lang w:eastAsia="fr-FR"/>
        </w:rPr>
        <w:drawing>
          <wp:inline distT="0" distB="0" distL="0" distR="0" wp14:anchorId="1A1AC031" wp14:editId="316D6259">
            <wp:extent cx="5760720" cy="27025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02560"/>
                    </a:xfrm>
                    <a:prstGeom prst="rect">
                      <a:avLst/>
                    </a:prstGeom>
                  </pic:spPr>
                </pic:pic>
              </a:graphicData>
            </a:graphic>
          </wp:inline>
        </w:drawing>
      </w:r>
    </w:p>
    <w:p w:rsidR="008460D0" w:rsidRDefault="008460D0" w:rsidP="008D07F0"/>
    <w:p w:rsidR="008460D0" w:rsidRDefault="008460D0" w:rsidP="008D07F0">
      <w:r>
        <w:t xml:space="preserve">Banque dépositaire : </w:t>
      </w:r>
      <w:r w:rsidRPr="008460D0">
        <w:t>Prestataire de services d’investissement (souvent une banque) chargé de la conservation des titres et du contrôle de la régularité des décisions de gestion prises pour le compte des OPCVM</w:t>
      </w:r>
    </w:p>
    <w:p w:rsidR="008460D0" w:rsidRDefault="008460D0" w:rsidP="008D07F0"/>
    <w:p w:rsidR="008460D0" w:rsidRDefault="008460D0" w:rsidP="008D07F0"/>
    <w:p w:rsidR="008460D0" w:rsidRDefault="008460D0" w:rsidP="008460D0">
      <w:pPr>
        <w:jc w:val="center"/>
        <w:rPr>
          <w:b/>
        </w:rPr>
      </w:pPr>
      <w:r>
        <w:rPr>
          <w:noProof/>
          <w:lang w:eastAsia="fr-FR"/>
        </w:rPr>
        <w:lastRenderedPageBreak/>
        <w:drawing>
          <wp:anchor distT="0" distB="0" distL="114300" distR="114300" simplePos="0" relativeHeight="251664384" behindDoc="0" locked="0" layoutInCell="1" allowOverlap="1">
            <wp:simplePos x="0" y="0"/>
            <wp:positionH relativeFrom="column">
              <wp:posOffset>-605155</wp:posOffset>
            </wp:positionH>
            <wp:positionV relativeFrom="paragraph">
              <wp:posOffset>280670</wp:posOffset>
            </wp:positionV>
            <wp:extent cx="7096125" cy="4530090"/>
            <wp:effectExtent l="0" t="0" r="9525" b="381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96125" cy="4530090"/>
                    </a:xfrm>
                    <a:prstGeom prst="rect">
                      <a:avLst/>
                    </a:prstGeom>
                  </pic:spPr>
                </pic:pic>
              </a:graphicData>
            </a:graphic>
            <wp14:sizeRelH relativeFrom="margin">
              <wp14:pctWidth>0</wp14:pctWidth>
            </wp14:sizeRelH>
            <wp14:sizeRelV relativeFrom="margin">
              <wp14:pctHeight>0</wp14:pctHeight>
            </wp14:sizeRelV>
          </wp:anchor>
        </w:drawing>
      </w:r>
      <w:r>
        <w:rPr>
          <w:b/>
        </w:rPr>
        <w:t>FOCUS SUR OPERATION DE SL</w:t>
      </w:r>
    </w:p>
    <w:p w:rsidR="008460D0" w:rsidRDefault="008460D0" w:rsidP="008460D0"/>
    <w:p w:rsidR="008460D0" w:rsidRDefault="009F1F5B" w:rsidP="008460D0">
      <w:r>
        <w:t xml:space="preserve">Il s’agit bien d’une opération SL car pas de </w:t>
      </w:r>
      <w:r>
        <w:rPr>
          <w:b/>
        </w:rPr>
        <w:t>close date</w:t>
      </w:r>
      <w:r>
        <w:t xml:space="preserve"> (contrairement au REPO). A l’initiation : </w:t>
      </w:r>
    </w:p>
    <w:p w:rsidR="009F1F5B" w:rsidRDefault="009F1F5B" w:rsidP="009F1F5B">
      <w:pPr>
        <w:pStyle w:val="Paragraphedeliste"/>
        <w:numPr>
          <w:ilvl w:val="0"/>
          <w:numId w:val="1"/>
        </w:numPr>
      </w:pPr>
      <w:r>
        <w:t xml:space="preserve">Prix = 4.87 (100% </w:t>
      </w:r>
      <w:proofErr w:type="spellStart"/>
      <w:r>
        <w:t>price</w:t>
      </w:r>
      <w:proofErr w:type="spellEnd"/>
      <w:r>
        <w:t>)</w:t>
      </w:r>
    </w:p>
    <w:p w:rsidR="009F1F5B" w:rsidRDefault="009F1F5B" w:rsidP="009F1F5B">
      <w:pPr>
        <w:pStyle w:val="Paragraphedeliste"/>
        <w:numPr>
          <w:ilvl w:val="0"/>
          <w:numId w:val="1"/>
        </w:numPr>
      </w:pPr>
      <w:proofErr w:type="spellStart"/>
      <w:r>
        <w:t>Loan</w:t>
      </w:r>
      <w:proofErr w:type="spellEnd"/>
      <w:r>
        <w:t xml:space="preserve"> </w:t>
      </w:r>
      <w:proofErr w:type="spellStart"/>
      <w:r>
        <w:t>price</w:t>
      </w:r>
      <w:proofErr w:type="spellEnd"/>
      <w:r>
        <w:t xml:space="preserve"> (valeur du titre x </w:t>
      </w:r>
      <w:proofErr w:type="spellStart"/>
      <w:r>
        <w:t>haircut</w:t>
      </w:r>
      <w:proofErr w:type="spellEnd"/>
      <w:r>
        <w:t>) = 5.11 %*</w:t>
      </w:r>
    </w:p>
    <w:p w:rsidR="009F1F5B" w:rsidRDefault="009F1F5B" w:rsidP="009F1F5B">
      <w:pPr>
        <w:pStyle w:val="Paragraphedeliste"/>
        <w:numPr>
          <w:ilvl w:val="0"/>
          <w:numId w:val="1"/>
        </w:numPr>
      </w:pPr>
      <w:proofErr w:type="spellStart"/>
      <w:r>
        <w:t>Fees</w:t>
      </w:r>
      <w:proofErr w:type="spellEnd"/>
      <w:r>
        <w:t xml:space="preserve"> (loyer pour le prêt) = 5%</w:t>
      </w:r>
    </w:p>
    <w:p w:rsidR="009F1F5B" w:rsidRDefault="000B2187" w:rsidP="000B2187">
      <w:r>
        <w:t xml:space="preserve">* </w:t>
      </w:r>
      <w:proofErr w:type="spellStart"/>
      <w:r>
        <w:t>Loan</w:t>
      </w:r>
      <w:proofErr w:type="spellEnd"/>
      <w:r>
        <w:t xml:space="preserve"> </w:t>
      </w:r>
      <w:proofErr w:type="spellStart"/>
      <w:r>
        <w:t>price</w:t>
      </w:r>
      <w:proofErr w:type="spellEnd"/>
      <w:r>
        <w:t xml:space="preserve"> utilisé pour calculer le montant de collatéral en échange du prêt soit 750 000 x 5.11% (valeur du collatéral)</w:t>
      </w:r>
    </w:p>
    <w:p w:rsidR="009F1F5B" w:rsidRDefault="009F1F5B" w:rsidP="009F1F5B">
      <w:r>
        <w:t>La rémunération de ce prêt est calculée de la manière suivante :</w:t>
      </w:r>
    </w:p>
    <w:p w:rsidR="009F1F5B" w:rsidRPr="009F1F5B" w:rsidRDefault="009F1F5B" w:rsidP="009F1F5B">
      <w:r>
        <w:t xml:space="preserve">750 000 (nominal) x 4,87 (100% </w:t>
      </w:r>
      <w:proofErr w:type="spellStart"/>
      <w:r>
        <w:t>price</w:t>
      </w:r>
      <w:proofErr w:type="spellEnd"/>
      <w:r>
        <w:t xml:space="preserve">) x 5% x 5/360 = 2536 euros. </w:t>
      </w:r>
    </w:p>
    <w:p w:rsidR="000B2187" w:rsidRDefault="000B2187" w:rsidP="000B2187">
      <w:r>
        <w:t>Paiement des intérêts même le samedi / dimanche.</w:t>
      </w:r>
    </w:p>
    <w:p w:rsidR="000B2187" w:rsidRDefault="000B2187" w:rsidP="000B2187">
      <w:proofErr w:type="spellStart"/>
      <w:r>
        <w:t>Reuse</w:t>
      </w:r>
      <w:proofErr w:type="spellEnd"/>
      <w:r>
        <w:t xml:space="preserve"> MIFID = réutilisation du collatéral avec l’accord de toutes les parties. Si le collatéral est en titres. </w:t>
      </w:r>
    </w:p>
    <w:p w:rsidR="008460D0" w:rsidRDefault="008460D0" w:rsidP="008460D0"/>
    <w:p w:rsidR="000B2187" w:rsidRDefault="000B2187" w:rsidP="008460D0"/>
    <w:p w:rsidR="008460D0" w:rsidRDefault="008460D0" w:rsidP="008460D0"/>
    <w:p w:rsidR="008460D0" w:rsidRDefault="008460D0" w:rsidP="008460D0">
      <w:r>
        <w:lastRenderedPageBreak/>
        <w:t xml:space="preserve">En période de dividende / coupon, les parties négocient un coût d’emprunt en fonction du taux de rétrocession et de la fiscalité de chacun. Négociation en </w:t>
      </w:r>
      <w:proofErr w:type="spellStart"/>
      <w:r>
        <w:t>All-In</w:t>
      </w:r>
      <w:proofErr w:type="spellEnd"/>
    </w:p>
    <w:p w:rsidR="008460D0" w:rsidRDefault="008460D0" w:rsidP="008460D0">
      <w:pPr>
        <w:rPr>
          <w:b/>
          <w:color w:val="FF0000"/>
        </w:rPr>
      </w:pPr>
      <w:r>
        <w:rPr>
          <w:b/>
          <w:color w:val="FF0000"/>
        </w:rPr>
        <w:t>TAUX ALL -IN : M</w:t>
      </w:r>
      <w:r w:rsidRPr="008460D0">
        <w:rPr>
          <w:b/>
          <w:color w:val="FF0000"/>
        </w:rPr>
        <w:t>éthode simple de cotation qui définit pour une période donnée, pour un cours donné, pour un montant de dividende donné et pour un taux de rétrocession donné, le taux de commission associé à une opération de prêt-emprunt pen</w:t>
      </w:r>
      <w:r>
        <w:rPr>
          <w:b/>
          <w:color w:val="FF0000"/>
        </w:rPr>
        <w:t>dant une période de dividende</w:t>
      </w:r>
    </w:p>
    <w:p w:rsidR="008460D0" w:rsidRDefault="00B171FF" w:rsidP="00B171FF">
      <w:pPr>
        <w:jc w:val="center"/>
        <w:rPr>
          <w:b/>
          <w:color w:val="FF0000"/>
        </w:rPr>
      </w:pPr>
      <w:r>
        <w:rPr>
          <w:noProof/>
          <w:lang w:eastAsia="fr-FR"/>
        </w:rPr>
        <w:drawing>
          <wp:inline distT="0" distB="0" distL="0" distR="0" wp14:anchorId="392EAFBF" wp14:editId="0FD434CA">
            <wp:extent cx="4914900" cy="7835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2953" cy="795978"/>
                    </a:xfrm>
                    <a:prstGeom prst="rect">
                      <a:avLst/>
                    </a:prstGeom>
                  </pic:spPr>
                </pic:pic>
              </a:graphicData>
            </a:graphic>
          </wp:inline>
        </w:drawing>
      </w:r>
    </w:p>
    <w:p w:rsidR="00B171FF" w:rsidRDefault="00B171FF" w:rsidP="00B171FF">
      <w:pPr>
        <w:jc w:val="center"/>
        <w:rPr>
          <w:b/>
          <w:color w:val="FF0000"/>
        </w:rPr>
      </w:pPr>
    </w:p>
    <w:p w:rsidR="00B171FF" w:rsidRDefault="00B171FF" w:rsidP="00B171FF">
      <w:pPr>
        <w:jc w:val="center"/>
        <w:rPr>
          <w:b/>
          <w:color w:val="FF0000"/>
        </w:rPr>
      </w:pPr>
      <w:r>
        <w:rPr>
          <w:noProof/>
          <w:lang w:eastAsia="fr-FR"/>
        </w:rPr>
        <w:drawing>
          <wp:inline distT="0" distB="0" distL="0" distR="0" wp14:anchorId="4CB4FE7F" wp14:editId="69378355">
            <wp:extent cx="5476875" cy="547567"/>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6852" cy="550564"/>
                    </a:xfrm>
                    <a:prstGeom prst="rect">
                      <a:avLst/>
                    </a:prstGeom>
                  </pic:spPr>
                </pic:pic>
              </a:graphicData>
            </a:graphic>
          </wp:inline>
        </w:drawing>
      </w:r>
    </w:p>
    <w:p w:rsidR="00B171FF" w:rsidRDefault="00B171FF" w:rsidP="00B171FF">
      <w:pPr>
        <w:rPr>
          <w:b/>
          <w:color w:val="FF0000"/>
        </w:rPr>
      </w:pPr>
    </w:p>
    <w:p w:rsidR="00B171FF" w:rsidRDefault="00B171FF" w:rsidP="00B171FF">
      <w:pPr>
        <w:rPr>
          <w:b/>
          <w:color w:val="C00000"/>
        </w:rPr>
      </w:pPr>
      <w:r>
        <w:rPr>
          <w:b/>
          <w:color w:val="C00000"/>
        </w:rPr>
        <w:t xml:space="preserve">IV. Comparaison SL / REPO </w:t>
      </w:r>
    </w:p>
    <w:tbl>
      <w:tblPr>
        <w:tblStyle w:val="Grilledutableau"/>
        <w:tblW w:w="10060" w:type="dxa"/>
        <w:tblLook w:val="04A0" w:firstRow="1" w:lastRow="0" w:firstColumn="1" w:lastColumn="0" w:noHBand="0" w:noVBand="1"/>
      </w:tblPr>
      <w:tblGrid>
        <w:gridCol w:w="1980"/>
        <w:gridCol w:w="2977"/>
        <w:gridCol w:w="5103"/>
      </w:tblGrid>
      <w:tr w:rsidR="00B171FF" w:rsidTr="00C25224">
        <w:tc>
          <w:tcPr>
            <w:tcW w:w="1980" w:type="dxa"/>
            <w:shd w:val="clear" w:color="auto" w:fill="C00000"/>
          </w:tcPr>
          <w:p w:rsidR="00B171FF" w:rsidRPr="00B171FF" w:rsidRDefault="00B171FF" w:rsidP="00B171FF">
            <w:pPr>
              <w:jc w:val="center"/>
              <w:rPr>
                <w:b/>
                <w:color w:val="FFFFFF" w:themeColor="background1"/>
              </w:rPr>
            </w:pPr>
            <w:r w:rsidRPr="00B171FF">
              <w:rPr>
                <w:b/>
                <w:color w:val="FFFFFF" w:themeColor="background1"/>
              </w:rPr>
              <w:t>Critères</w:t>
            </w:r>
          </w:p>
        </w:tc>
        <w:tc>
          <w:tcPr>
            <w:tcW w:w="2977" w:type="dxa"/>
            <w:shd w:val="clear" w:color="auto" w:fill="C00000"/>
          </w:tcPr>
          <w:p w:rsidR="00B171FF" w:rsidRPr="00B171FF" w:rsidRDefault="00B171FF" w:rsidP="00B171FF">
            <w:pPr>
              <w:jc w:val="center"/>
              <w:rPr>
                <w:b/>
                <w:color w:val="FFFFFF" w:themeColor="background1"/>
              </w:rPr>
            </w:pPr>
            <w:r w:rsidRPr="00B171FF">
              <w:rPr>
                <w:b/>
                <w:color w:val="FFFFFF" w:themeColor="background1"/>
              </w:rPr>
              <w:t>SL</w:t>
            </w:r>
          </w:p>
        </w:tc>
        <w:tc>
          <w:tcPr>
            <w:tcW w:w="5103" w:type="dxa"/>
            <w:shd w:val="clear" w:color="auto" w:fill="C00000"/>
          </w:tcPr>
          <w:p w:rsidR="00B171FF" w:rsidRPr="00B171FF" w:rsidRDefault="00B171FF" w:rsidP="00B171FF">
            <w:pPr>
              <w:jc w:val="center"/>
              <w:rPr>
                <w:b/>
                <w:color w:val="FFFFFF" w:themeColor="background1"/>
              </w:rPr>
            </w:pPr>
            <w:r w:rsidRPr="00B171FF">
              <w:rPr>
                <w:b/>
                <w:color w:val="FFFFFF" w:themeColor="background1"/>
              </w:rPr>
              <w:t>REPO</w:t>
            </w:r>
          </w:p>
        </w:tc>
      </w:tr>
      <w:tr w:rsidR="00B171FF" w:rsidRPr="00B171FF" w:rsidTr="00C25224">
        <w:tc>
          <w:tcPr>
            <w:tcW w:w="1980" w:type="dxa"/>
            <w:shd w:val="clear" w:color="auto" w:fill="A6A6A6" w:themeFill="background1" w:themeFillShade="A6"/>
            <w:vAlign w:val="center"/>
          </w:tcPr>
          <w:p w:rsidR="00B171FF" w:rsidRPr="00B171FF" w:rsidRDefault="00B171FF" w:rsidP="00B171FF">
            <w:pPr>
              <w:jc w:val="center"/>
              <w:rPr>
                <w:b/>
                <w:color w:val="FFFFFF" w:themeColor="background1"/>
              </w:rPr>
            </w:pPr>
            <w:r w:rsidRPr="00B171FF">
              <w:rPr>
                <w:b/>
                <w:color w:val="FFFFFF" w:themeColor="background1"/>
              </w:rPr>
              <w:t>Intérêts</w:t>
            </w:r>
          </w:p>
        </w:tc>
        <w:tc>
          <w:tcPr>
            <w:tcW w:w="2977" w:type="dxa"/>
          </w:tcPr>
          <w:p w:rsidR="00B171FF" w:rsidRPr="00B171FF" w:rsidRDefault="00B171FF" w:rsidP="00B171FF">
            <w:r>
              <w:t>Besoin prêt / emprunt actifs</w:t>
            </w:r>
          </w:p>
        </w:tc>
        <w:tc>
          <w:tcPr>
            <w:tcW w:w="5103" w:type="dxa"/>
          </w:tcPr>
          <w:p w:rsidR="00B171FF" w:rsidRPr="00B171FF" w:rsidRDefault="00B171FF" w:rsidP="00B171FF">
            <w:r>
              <w:t>Besoin prêt / emprunt liquidités</w:t>
            </w:r>
          </w:p>
        </w:tc>
      </w:tr>
      <w:tr w:rsidR="00B171FF" w:rsidRPr="00B171FF" w:rsidTr="00C25224">
        <w:tc>
          <w:tcPr>
            <w:tcW w:w="1980" w:type="dxa"/>
            <w:shd w:val="clear" w:color="auto" w:fill="A6A6A6" w:themeFill="background1" w:themeFillShade="A6"/>
            <w:vAlign w:val="center"/>
          </w:tcPr>
          <w:p w:rsidR="00B171FF" w:rsidRPr="00B171FF" w:rsidRDefault="00B171FF" w:rsidP="00B171FF">
            <w:pPr>
              <w:jc w:val="center"/>
              <w:rPr>
                <w:b/>
                <w:color w:val="FFFFFF" w:themeColor="background1"/>
              </w:rPr>
            </w:pPr>
            <w:r w:rsidRPr="00B171FF">
              <w:rPr>
                <w:b/>
                <w:color w:val="FFFFFF" w:themeColor="background1"/>
              </w:rPr>
              <w:t>Acteurs</w:t>
            </w:r>
          </w:p>
        </w:tc>
        <w:tc>
          <w:tcPr>
            <w:tcW w:w="2977" w:type="dxa"/>
          </w:tcPr>
          <w:p w:rsidR="00B171FF" w:rsidRDefault="00B171FF" w:rsidP="00B171FF">
            <w:r>
              <w:t>Prêts / emprunteurs</w:t>
            </w:r>
          </w:p>
        </w:tc>
        <w:tc>
          <w:tcPr>
            <w:tcW w:w="5103" w:type="dxa"/>
          </w:tcPr>
          <w:p w:rsidR="00B171FF" w:rsidRDefault="00B171FF" w:rsidP="00B171FF">
            <w:r>
              <w:t>Acheteurs / vendeurs</w:t>
            </w:r>
          </w:p>
        </w:tc>
      </w:tr>
      <w:tr w:rsidR="00B171FF" w:rsidRPr="00B171FF" w:rsidTr="00C25224">
        <w:tc>
          <w:tcPr>
            <w:tcW w:w="1980" w:type="dxa"/>
            <w:shd w:val="clear" w:color="auto" w:fill="A6A6A6" w:themeFill="background1" w:themeFillShade="A6"/>
            <w:vAlign w:val="center"/>
          </w:tcPr>
          <w:p w:rsidR="00B171FF" w:rsidRPr="00B171FF" w:rsidRDefault="00B171FF" w:rsidP="00B171FF">
            <w:pPr>
              <w:jc w:val="center"/>
              <w:rPr>
                <w:b/>
                <w:color w:val="FFFFFF" w:themeColor="background1"/>
              </w:rPr>
            </w:pPr>
            <w:r w:rsidRPr="00B171FF">
              <w:rPr>
                <w:b/>
                <w:color w:val="FFFFFF" w:themeColor="background1"/>
              </w:rPr>
              <w:t>Types d’échange</w:t>
            </w:r>
          </w:p>
        </w:tc>
        <w:tc>
          <w:tcPr>
            <w:tcW w:w="2977" w:type="dxa"/>
          </w:tcPr>
          <w:p w:rsidR="00B171FF" w:rsidRDefault="00B171FF" w:rsidP="00B171FF">
            <w:r>
              <w:t>Actifs contre collatéral (actifs/cash)</w:t>
            </w:r>
          </w:p>
        </w:tc>
        <w:tc>
          <w:tcPr>
            <w:tcW w:w="5103" w:type="dxa"/>
          </w:tcPr>
          <w:p w:rsidR="00B171FF" w:rsidRDefault="00B171FF" w:rsidP="00B171FF">
            <w:r>
              <w:t>Liquidité contre collatéral (titres/obligations)</w:t>
            </w:r>
          </w:p>
        </w:tc>
      </w:tr>
      <w:tr w:rsidR="00B171FF" w:rsidRPr="00B171FF" w:rsidTr="00C25224">
        <w:tc>
          <w:tcPr>
            <w:tcW w:w="1980" w:type="dxa"/>
            <w:shd w:val="clear" w:color="auto" w:fill="A6A6A6" w:themeFill="background1" w:themeFillShade="A6"/>
            <w:vAlign w:val="center"/>
          </w:tcPr>
          <w:p w:rsidR="00B171FF" w:rsidRPr="00B171FF" w:rsidRDefault="00B171FF" w:rsidP="00B171FF">
            <w:pPr>
              <w:jc w:val="center"/>
              <w:rPr>
                <w:b/>
                <w:color w:val="FFFFFF" w:themeColor="background1"/>
              </w:rPr>
            </w:pPr>
            <w:r w:rsidRPr="00B171FF">
              <w:rPr>
                <w:b/>
                <w:color w:val="FFFFFF" w:themeColor="background1"/>
              </w:rPr>
              <w:t>Types d’actif</w:t>
            </w:r>
          </w:p>
        </w:tc>
        <w:tc>
          <w:tcPr>
            <w:tcW w:w="2977" w:type="dxa"/>
          </w:tcPr>
          <w:p w:rsidR="00B171FF" w:rsidRDefault="00B171FF" w:rsidP="00B171FF">
            <w:r>
              <w:t>Titres, obligations</w:t>
            </w:r>
          </w:p>
        </w:tc>
        <w:tc>
          <w:tcPr>
            <w:tcW w:w="5103" w:type="dxa"/>
          </w:tcPr>
          <w:p w:rsidR="00B171FF" w:rsidRDefault="00B171FF" w:rsidP="00B171FF">
            <w:r>
              <w:t xml:space="preserve">Obligations, titres (émergence </w:t>
            </w:r>
            <w:proofErr w:type="spellStart"/>
            <w:r>
              <w:t>equity</w:t>
            </w:r>
            <w:proofErr w:type="spellEnd"/>
            <w:r>
              <w:t xml:space="preserve"> repo)</w:t>
            </w:r>
          </w:p>
        </w:tc>
      </w:tr>
      <w:tr w:rsidR="00B171FF" w:rsidRPr="00B171FF" w:rsidTr="00C25224">
        <w:tc>
          <w:tcPr>
            <w:tcW w:w="1980" w:type="dxa"/>
            <w:shd w:val="clear" w:color="auto" w:fill="A6A6A6" w:themeFill="background1" w:themeFillShade="A6"/>
            <w:vAlign w:val="center"/>
          </w:tcPr>
          <w:p w:rsidR="00B171FF" w:rsidRPr="00B171FF" w:rsidRDefault="00B171FF" w:rsidP="00B171FF">
            <w:pPr>
              <w:jc w:val="center"/>
              <w:rPr>
                <w:b/>
                <w:color w:val="FFFFFF" w:themeColor="background1"/>
              </w:rPr>
            </w:pPr>
            <w:r w:rsidRPr="00B171FF">
              <w:rPr>
                <w:b/>
                <w:color w:val="FFFFFF" w:themeColor="background1"/>
              </w:rPr>
              <w:t>Maturité</w:t>
            </w:r>
          </w:p>
        </w:tc>
        <w:tc>
          <w:tcPr>
            <w:tcW w:w="2977" w:type="dxa"/>
          </w:tcPr>
          <w:p w:rsidR="00B171FF" w:rsidRDefault="00B171FF" w:rsidP="00B171FF">
            <w:r>
              <w:t xml:space="preserve">Ouverte ou fixe </w:t>
            </w:r>
            <w:r>
              <w:br/>
              <w:t xml:space="preserve">Droit de </w:t>
            </w:r>
            <w:proofErr w:type="spellStart"/>
            <w:r>
              <w:t>recall</w:t>
            </w:r>
            <w:proofErr w:type="spellEnd"/>
            <w:r>
              <w:t xml:space="preserve"> </w:t>
            </w:r>
          </w:p>
        </w:tc>
        <w:tc>
          <w:tcPr>
            <w:tcW w:w="5103" w:type="dxa"/>
          </w:tcPr>
          <w:p w:rsidR="00B171FF" w:rsidRDefault="00B171FF" w:rsidP="00B171FF">
            <w:r>
              <w:t>Du jour au lendemain (</w:t>
            </w:r>
            <w:proofErr w:type="spellStart"/>
            <w:r>
              <w:t>overnight</w:t>
            </w:r>
            <w:proofErr w:type="spellEnd"/>
            <w:r>
              <w:t>)</w:t>
            </w:r>
            <w:r>
              <w:br/>
              <w:t>Date fixe</w:t>
            </w:r>
          </w:p>
          <w:p w:rsidR="00B171FF" w:rsidRDefault="00B171FF" w:rsidP="00B171FF">
            <w:r>
              <w:t>Droit de sortie de l’opération et/ou droit de substituer les actifs (selon conditions)</w:t>
            </w:r>
          </w:p>
        </w:tc>
      </w:tr>
    </w:tbl>
    <w:p w:rsidR="00B171FF" w:rsidRDefault="00B171FF" w:rsidP="00B171FF">
      <w:pPr>
        <w:rPr>
          <w:color w:val="C00000"/>
        </w:rPr>
      </w:pPr>
    </w:p>
    <w:p w:rsidR="00B171FF" w:rsidRDefault="00C25224" w:rsidP="00B171FF">
      <w:pPr>
        <w:rPr>
          <w:b/>
          <w:color w:val="C00000"/>
        </w:rPr>
      </w:pPr>
      <w:r>
        <w:rPr>
          <w:b/>
          <w:color w:val="C00000"/>
        </w:rPr>
        <w:t xml:space="preserve">V. Le marché du prêt de titres </w:t>
      </w:r>
    </w:p>
    <w:p w:rsidR="00C25224" w:rsidRDefault="00C25224" w:rsidP="00B171FF">
      <w:pPr>
        <w:rPr>
          <w:i/>
        </w:rPr>
      </w:pPr>
      <w:r>
        <w:rPr>
          <w:i/>
        </w:rPr>
        <w:t xml:space="preserve">Bénéfices au marché </w:t>
      </w:r>
    </w:p>
    <w:p w:rsidR="00C25224" w:rsidRDefault="00C25224" w:rsidP="00C25224">
      <w:pPr>
        <w:pStyle w:val="Paragraphedeliste"/>
        <w:numPr>
          <w:ilvl w:val="0"/>
          <w:numId w:val="2"/>
        </w:numPr>
      </w:pPr>
      <w:r>
        <w:t>Couverture / vente à découvert = Eléments nécessaire à une bonne gestion des risques dans des marchés volatils</w:t>
      </w:r>
    </w:p>
    <w:p w:rsidR="00C25224" w:rsidRDefault="00C25224" w:rsidP="00C25224">
      <w:pPr>
        <w:pStyle w:val="Paragraphedeliste"/>
        <w:numPr>
          <w:ilvl w:val="0"/>
          <w:numId w:val="2"/>
        </w:numPr>
      </w:pPr>
      <w:r>
        <w:t>Investisseurs requièrent : liquidité, R/L fluides efficaces, choix d’investissement</w:t>
      </w:r>
    </w:p>
    <w:p w:rsidR="00C25224" w:rsidRDefault="00C25224" w:rsidP="00C25224">
      <w:pPr>
        <w:pStyle w:val="Paragraphedeliste"/>
        <w:numPr>
          <w:ilvl w:val="0"/>
          <w:numId w:val="2"/>
        </w:numPr>
      </w:pPr>
      <w:r>
        <w:t>Faible rentabilité des stratégies d’investissement longues seuls bénéfique pour HF (allocation alternative)</w:t>
      </w:r>
    </w:p>
    <w:p w:rsidR="00C25224" w:rsidRDefault="00C25224" w:rsidP="00C25224">
      <w:pPr>
        <w:rPr>
          <w:i/>
        </w:rPr>
      </w:pPr>
      <w:r>
        <w:rPr>
          <w:i/>
        </w:rPr>
        <w:t xml:space="preserve">Le paysage - Les motivations pour emprunter ou prêter </w:t>
      </w:r>
    </w:p>
    <w:p w:rsidR="00C25224" w:rsidRDefault="00C25224" w:rsidP="00C25224">
      <w:pPr>
        <w:pStyle w:val="Paragraphedeliste"/>
        <w:numPr>
          <w:ilvl w:val="0"/>
          <w:numId w:val="3"/>
        </w:numPr>
      </w:pPr>
      <w:r>
        <w:t xml:space="preserve">Conduite par la rentabilité économique et les relations </w:t>
      </w:r>
      <w:r>
        <w:rPr>
          <w:b/>
        </w:rPr>
        <w:t>intuitu personae fort</w:t>
      </w:r>
    </w:p>
    <w:p w:rsidR="00C25224" w:rsidRDefault="00A845D6" w:rsidP="00C25224">
      <w:pPr>
        <w:pStyle w:val="Paragraphedeliste"/>
        <w:numPr>
          <w:ilvl w:val="0"/>
          <w:numId w:val="3"/>
        </w:numPr>
      </w:pPr>
      <w:r>
        <w:t xml:space="preserve">Accès à des actions difficiles à emprunter </w:t>
      </w:r>
    </w:p>
    <w:p w:rsidR="00A845D6" w:rsidRDefault="00A845D6" w:rsidP="00C25224">
      <w:pPr>
        <w:pStyle w:val="Paragraphedeliste"/>
        <w:numPr>
          <w:ilvl w:val="0"/>
          <w:numId w:val="3"/>
        </w:numPr>
        <w:rPr>
          <w:lang w:val="en-US"/>
        </w:rPr>
      </w:pPr>
      <w:r w:rsidRPr="00A845D6">
        <w:rPr>
          <w:lang w:val="en-US"/>
        </w:rPr>
        <w:t xml:space="preserve">Prime brokerage et global securities lending </w:t>
      </w:r>
    </w:p>
    <w:p w:rsidR="00A845D6" w:rsidRDefault="00A845D6" w:rsidP="00A845D6">
      <w:pPr>
        <w:rPr>
          <w:i/>
          <w:lang w:val="en-US"/>
        </w:rPr>
      </w:pPr>
      <w:proofErr w:type="spellStart"/>
      <w:r>
        <w:rPr>
          <w:i/>
          <w:lang w:val="en-US"/>
        </w:rPr>
        <w:t>Facteurs</w:t>
      </w:r>
      <w:proofErr w:type="spellEnd"/>
      <w:r>
        <w:rPr>
          <w:i/>
          <w:lang w:val="en-US"/>
        </w:rPr>
        <w:t xml:space="preserve"> </w:t>
      </w:r>
      <w:proofErr w:type="spellStart"/>
      <w:r>
        <w:rPr>
          <w:i/>
          <w:lang w:val="en-US"/>
        </w:rPr>
        <w:t>d’évolution</w:t>
      </w:r>
      <w:proofErr w:type="spellEnd"/>
      <w:r>
        <w:rPr>
          <w:i/>
          <w:lang w:val="en-US"/>
        </w:rPr>
        <w:t xml:space="preserve"> </w:t>
      </w:r>
    </w:p>
    <w:p w:rsidR="00D522E3" w:rsidRDefault="00D522E3" w:rsidP="00D522E3">
      <w:pPr>
        <w:pStyle w:val="Paragraphedeliste"/>
        <w:numPr>
          <w:ilvl w:val="0"/>
          <w:numId w:val="4"/>
        </w:numPr>
      </w:pPr>
      <w:r w:rsidRPr="00D522E3">
        <w:t xml:space="preserve">Développement des stratégies </w:t>
      </w:r>
      <w:r>
        <w:t>de trading / couverture à de nouveaux marchés</w:t>
      </w:r>
    </w:p>
    <w:p w:rsidR="00D522E3" w:rsidRDefault="00D522E3" w:rsidP="00D522E3">
      <w:pPr>
        <w:pStyle w:val="Paragraphedeliste"/>
        <w:numPr>
          <w:ilvl w:val="0"/>
          <w:numId w:val="4"/>
        </w:numPr>
      </w:pPr>
      <w:r>
        <w:t>Spreads des produits dérivés dans les nouveaux marchés</w:t>
      </w:r>
    </w:p>
    <w:p w:rsidR="00D522E3" w:rsidRDefault="00D522E3" w:rsidP="00D522E3">
      <w:pPr>
        <w:pStyle w:val="Paragraphedeliste"/>
        <w:numPr>
          <w:ilvl w:val="0"/>
          <w:numId w:val="4"/>
        </w:numPr>
      </w:pPr>
      <w:r>
        <w:lastRenderedPageBreak/>
        <w:t>Croissance flux d’investissement transfrontaliers</w:t>
      </w:r>
    </w:p>
    <w:p w:rsidR="00D522E3" w:rsidRDefault="00D522E3" w:rsidP="00D522E3">
      <w:pPr>
        <w:pStyle w:val="Paragraphedeliste"/>
        <w:numPr>
          <w:ilvl w:val="0"/>
          <w:numId w:val="4"/>
        </w:numPr>
      </w:pPr>
      <w:r>
        <w:t xml:space="preserve">Popularité grandissante des stratégies type </w:t>
      </w:r>
      <w:proofErr w:type="spellStart"/>
      <w:r>
        <w:t>market-neutral</w:t>
      </w:r>
      <w:proofErr w:type="spellEnd"/>
      <w:r>
        <w:t>, croissance HF</w:t>
      </w:r>
    </w:p>
    <w:p w:rsidR="00D522E3" w:rsidRDefault="00D522E3" w:rsidP="00D522E3">
      <w:pPr>
        <w:rPr>
          <w:i/>
        </w:rPr>
      </w:pPr>
      <w:r>
        <w:rPr>
          <w:i/>
        </w:rPr>
        <w:t xml:space="preserve">Pourquoi </w:t>
      </w:r>
    </w:p>
    <w:tbl>
      <w:tblPr>
        <w:tblStyle w:val="Grilledutableau"/>
        <w:tblW w:w="0" w:type="auto"/>
        <w:tblLook w:val="04A0" w:firstRow="1" w:lastRow="0" w:firstColumn="1" w:lastColumn="0" w:noHBand="0" w:noVBand="1"/>
      </w:tblPr>
      <w:tblGrid>
        <w:gridCol w:w="4531"/>
        <w:gridCol w:w="4531"/>
      </w:tblGrid>
      <w:tr w:rsidR="00D522E3" w:rsidTr="00D522E3">
        <w:tc>
          <w:tcPr>
            <w:tcW w:w="4531" w:type="dxa"/>
            <w:shd w:val="clear" w:color="auto" w:fill="A6A6A6" w:themeFill="background1" w:themeFillShade="A6"/>
          </w:tcPr>
          <w:p w:rsidR="00D522E3" w:rsidRPr="00D522E3" w:rsidRDefault="00D522E3" w:rsidP="00D522E3">
            <w:pPr>
              <w:rPr>
                <w:b/>
                <w:color w:val="FFFFFF" w:themeColor="background1"/>
              </w:rPr>
            </w:pPr>
            <w:r w:rsidRPr="00D522E3">
              <w:rPr>
                <w:b/>
                <w:color w:val="FFFFFF" w:themeColor="background1"/>
              </w:rPr>
              <w:t>Efficience des marchés (</w:t>
            </w:r>
            <w:proofErr w:type="spellStart"/>
            <w:r w:rsidRPr="00D522E3">
              <w:rPr>
                <w:b/>
                <w:color w:val="FFFFFF" w:themeColor="background1"/>
              </w:rPr>
              <w:t>market</w:t>
            </w:r>
            <w:proofErr w:type="spellEnd"/>
            <w:r w:rsidRPr="00D522E3">
              <w:rPr>
                <w:b/>
                <w:color w:val="FFFFFF" w:themeColor="background1"/>
              </w:rPr>
              <w:t xml:space="preserve"> </w:t>
            </w:r>
            <w:proofErr w:type="spellStart"/>
            <w:r w:rsidRPr="00D522E3">
              <w:rPr>
                <w:b/>
                <w:color w:val="FFFFFF" w:themeColor="background1"/>
              </w:rPr>
              <w:t>efficiency</w:t>
            </w:r>
            <w:proofErr w:type="spellEnd"/>
            <w:r w:rsidRPr="00D522E3">
              <w:rPr>
                <w:b/>
                <w:color w:val="FFFFFF" w:themeColor="background1"/>
              </w:rPr>
              <w:t>) et liquidité (</w:t>
            </w:r>
            <w:proofErr w:type="spellStart"/>
            <w:r w:rsidRPr="00D522E3">
              <w:rPr>
                <w:b/>
                <w:color w:val="FFFFFF" w:themeColor="background1"/>
              </w:rPr>
              <w:t>liquidity</w:t>
            </w:r>
            <w:proofErr w:type="spellEnd"/>
            <w:r w:rsidRPr="00D522E3">
              <w:rPr>
                <w:b/>
                <w:color w:val="FFFFFF" w:themeColor="background1"/>
              </w:rPr>
              <w:t>)</w:t>
            </w:r>
          </w:p>
        </w:tc>
        <w:tc>
          <w:tcPr>
            <w:tcW w:w="4531" w:type="dxa"/>
            <w:shd w:val="clear" w:color="auto" w:fill="A6A6A6" w:themeFill="background1" w:themeFillShade="A6"/>
          </w:tcPr>
          <w:p w:rsidR="00D522E3" w:rsidRPr="00D522E3" w:rsidRDefault="00D522E3" w:rsidP="00D522E3">
            <w:pPr>
              <w:rPr>
                <w:b/>
                <w:color w:val="FFFFFF" w:themeColor="background1"/>
              </w:rPr>
            </w:pPr>
            <w:r w:rsidRPr="00D522E3">
              <w:rPr>
                <w:b/>
                <w:color w:val="FFFFFF" w:themeColor="background1"/>
              </w:rPr>
              <w:t xml:space="preserve">Elément essentiel des marchés de titres développés pour les investisseurs locaux / internationaux </w:t>
            </w:r>
          </w:p>
        </w:tc>
      </w:tr>
      <w:tr w:rsidR="00D522E3" w:rsidTr="00953C7A">
        <w:trPr>
          <w:trHeight w:val="1516"/>
        </w:trPr>
        <w:tc>
          <w:tcPr>
            <w:tcW w:w="4531" w:type="dxa"/>
          </w:tcPr>
          <w:p w:rsidR="00D522E3" w:rsidRDefault="00D522E3" w:rsidP="00D522E3">
            <w:r>
              <w:t xml:space="preserve">Révélation des prix et arbitrage des </w:t>
            </w:r>
            <w:r w:rsidR="00953C7A">
              <w:t>inefficiences</w:t>
            </w:r>
            <w:r>
              <w:t xml:space="preserve"> de marché</w:t>
            </w:r>
          </w:p>
          <w:p w:rsidR="00D522E3" w:rsidRDefault="00D522E3" w:rsidP="00D522E3">
            <w:r>
              <w:t>Utilité pour couvrir suspens R/L (</w:t>
            </w:r>
            <w:proofErr w:type="spellStart"/>
            <w:r>
              <w:t>fail</w:t>
            </w:r>
            <w:proofErr w:type="spellEnd"/>
            <w:r>
              <w:t xml:space="preserve"> </w:t>
            </w:r>
            <w:proofErr w:type="spellStart"/>
            <w:r>
              <w:t>coverage</w:t>
            </w:r>
            <w:proofErr w:type="spellEnd"/>
            <w:r>
              <w:t>)</w:t>
            </w:r>
          </w:p>
          <w:p w:rsidR="00D522E3" w:rsidRDefault="00D522E3" w:rsidP="00D522E3">
            <w:r>
              <w:t>Nécessaire marchés dérivés liquides</w:t>
            </w:r>
          </w:p>
          <w:p w:rsidR="00D522E3" w:rsidRDefault="00D522E3" w:rsidP="00D522E3">
            <w:r>
              <w:t xml:space="preserve">Part importante gestion du risque </w:t>
            </w:r>
          </w:p>
        </w:tc>
        <w:tc>
          <w:tcPr>
            <w:tcW w:w="4531" w:type="dxa"/>
          </w:tcPr>
          <w:p w:rsidR="00D522E3" w:rsidRDefault="00D522E3" w:rsidP="00D522E3">
            <w:r>
              <w:t>Augmente la liquidité</w:t>
            </w:r>
          </w:p>
          <w:p w:rsidR="00D522E3" w:rsidRDefault="00D522E3" w:rsidP="00D522E3">
            <w:r>
              <w:t xml:space="preserve">Facilite les investisseurs / stratégies de Trading </w:t>
            </w:r>
          </w:p>
          <w:p w:rsidR="00D522E3" w:rsidRDefault="00D522E3" w:rsidP="00D522E3">
            <w:r>
              <w:t>Aide au développement marché des capitaux</w:t>
            </w:r>
          </w:p>
          <w:p w:rsidR="00D522E3" w:rsidRDefault="00D522E3" w:rsidP="00D522E3">
            <w:r>
              <w:t>Améliore l’efficacité R/L</w:t>
            </w:r>
          </w:p>
        </w:tc>
      </w:tr>
      <w:tr w:rsidR="00953C7A" w:rsidTr="00953C7A">
        <w:tc>
          <w:tcPr>
            <w:tcW w:w="4531" w:type="dxa"/>
            <w:shd w:val="clear" w:color="auto" w:fill="A6A6A6" w:themeFill="background1" w:themeFillShade="A6"/>
          </w:tcPr>
          <w:p w:rsidR="00953C7A" w:rsidRPr="00953C7A" w:rsidRDefault="00953C7A" w:rsidP="00D522E3">
            <w:pPr>
              <w:rPr>
                <w:b/>
                <w:color w:val="FFFFFF" w:themeColor="background1"/>
              </w:rPr>
            </w:pPr>
            <w:r w:rsidRPr="00953C7A">
              <w:rPr>
                <w:b/>
                <w:color w:val="FFFFFF" w:themeColor="background1"/>
              </w:rPr>
              <w:t>Facilite l’investissement et la stabilité des prix</w:t>
            </w:r>
          </w:p>
        </w:tc>
        <w:tc>
          <w:tcPr>
            <w:tcW w:w="4531" w:type="dxa"/>
            <w:shd w:val="clear" w:color="auto" w:fill="A6A6A6" w:themeFill="background1" w:themeFillShade="A6"/>
          </w:tcPr>
          <w:p w:rsidR="00953C7A" w:rsidRPr="00953C7A" w:rsidRDefault="00953C7A" w:rsidP="00D522E3">
            <w:pPr>
              <w:rPr>
                <w:b/>
                <w:color w:val="FFFFFF" w:themeColor="background1"/>
              </w:rPr>
            </w:pPr>
            <w:r w:rsidRPr="00953C7A">
              <w:rPr>
                <w:b/>
                <w:color w:val="FFFFFF" w:themeColor="background1"/>
              </w:rPr>
              <w:t xml:space="preserve">Aide à refinancer des positions </w:t>
            </w:r>
          </w:p>
        </w:tc>
      </w:tr>
      <w:tr w:rsidR="00953C7A" w:rsidTr="00D522E3">
        <w:tc>
          <w:tcPr>
            <w:tcW w:w="4531" w:type="dxa"/>
          </w:tcPr>
          <w:p w:rsidR="00953C7A" w:rsidRDefault="00953C7A" w:rsidP="00D522E3">
            <w:r>
              <w:t xml:space="preserve">Permet investissements type </w:t>
            </w:r>
            <w:proofErr w:type="spellStart"/>
            <w:r>
              <w:rPr>
                <w:b/>
              </w:rPr>
              <w:t>market</w:t>
            </w:r>
            <w:proofErr w:type="spellEnd"/>
            <w:r>
              <w:rPr>
                <w:b/>
              </w:rPr>
              <w:t xml:space="preserve"> </w:t>
            </w:r>
            <w:proofErr w:type="spellStart"/>
            <w:r>
              <w:rPr>
                <w:b/>
              </w:rPr>
              <w:t>neutral</w:t>
            </w:r>
            <w:proofErr w:type="spellEnd"/>
            <w:r>
              <w:t xml:space="preserve"> et stratégies de trading (ADR, arbitrage </w:t>
            </w:r>
            <w:proofErr w:type="spellStart"/>
            <w:r>
              <w:t>oblig</w:t>
            </w:r>
            <w:proofErr w:type="spellEnd"/>
            <w:r>
              <w:t xml:space="preserve"> convertibles, arbitrage indice)</w:t>
            </w:r>
          </w:p>
          <w:p w:rsidR="00953C7A" w:rsidRPr="00953C7A" w:rsidRDefault="00953C7A" w:rsidP="00D522E3">
            <w:r>
              <w:t>Retour sur investissement absolu (stratégies long/short)</w:t>
            </w:r>
          </w:p>
        </w:tc>
        <w:tc>
          <w:tcPr>
            <w:tcW w:w="4531" w:type="dxa"/>
          </w:tcPr>
          <w:p w:rsidR="00953C7A" w:rsidRDefault="00953C7A" w:rsidP="00D522E3">
            <w:r>
              <w:t>Quand REPO n’est pas une alternative</w:t>
            </w:r>
          </w:p>
        </w:tc>
      </w:tr>
      <w:tr w:rsidR="00953C7A" w:rsidTr="00953C7A">
        <w:tc>
          <w:tcPr>
            <w:tcW w:w="4531" w:type="dxa"/>
            <w:shd w:val="clear" w:color="auto" w:fill="A6A6A6" w:themeFill="background1" w:themeFillShade="A6"/>
          </w:tcPr>
          <w:p w:rsidR="00953C7A" w:rsidRPr="00953C7A" w:rsidRDefault="00953C7A" w:rsidP="00D522E3">
            <w:pPr>
              <w:rPr>
                <w:b/>
                <w:color w:val="FFFFFF" w:themeColor="background1"/>
              </w:rPr>
            </w:pPr>
            <w:r w:rsidRPr="00953C7A">
              <w:rPr>
                <w:b/>
                <w:color w:val="FFFFFF" w:themeColor="background1"/>
              </w:rPr>
              <w:t>Augmentation de la liquidité et investissements globaux pour les pays émergents</w:t>
            </w:r>
          </w:p>
        </w:tc>
        <w:tc>
          <w:tcPr>
            <w:tcW w:w="4531" w:type="dxa"/>
            <w:shd w:val="clear" w:color="auto" w:fill="A6A6A6" w:themeFill="background1" w:themeFillShade="A6"/>
          </w:tcPr>
          <w:p w:rsidR="00953C7A" w:rsidRPr="00953C7A" w:rsidRDefault="00953C7A" w:rsidP="00D522E3">
            <w:pPr>
              <w:rPr>
                <w:b/>
              </w:rPr>
            </w:pPr>
            <w:r w:rsidRPr="00953C7A">
              <w:rPr>
                <w:b/>
                <w:color w:val="FFFFFF" w:themeColor="background1"/>
              </w:rPr>
              <w:t>Consolidation / diversification des acteurs du marché</w:t>
            </w:r>
          </w:p>
        </w:tc>
      </w:tr>
      <w:tr w:rsidR="00953C7A" w:rsidRPr="002D003B" w:rsidTr="00D522E3">
        <w:tc>
          <w:tcPr>
            <w:tcW w:w="4531" w:type="dxa"/>
          </w:tcPr>
          <w:p w:rsidR="00953C7A" w:rsidRDefault="00953C7A" w:rsidP="00D522E3">
            <w:r>
              <w:t>Accélère le développement</w:t>
            </w:r>
          </w:p>
          <w:p w:rsidR="00953C7A" w:rsidRDefault="00953C7A" w:rsidP="00D522E3">
            <w:r>
              <w:t xml:space="preserve">Accélère l’attractivité </w:t>
            </w:r>
          </w:p>
        </w:tc>
        <w:tc>
          <w:tcPr>
            <w:tcW w:w="4531" w:type="dxa"/>
          </w:tcPr>
          <w:p w:rsidR="00953C7A" w:rsidRPr="00953C7A" w:rsidRDefault="00953C7A" w:rsidP="00D522E3">
            <w:pPr>
              <w:rPr>
                <w:lang w:val="en-US"/>
              </w:rPr>
            </w:pPr>
            <w:proofErr w:type="spellStart"/>
            <w:r w:rsidRPr="00953C7A">
              <w:rPr>
                <w:lang w:val="en-US"/>
              </w:rPr>
              <w:t>Depositaires</w:t>
            </w:r>
            <w:proofErr w:type="spellEnd"/>
          </w:p>
          <w:p w:rsidR="00953C7A" w:rsidRPr="00953C7A" w:rsidRDefault="00953C7A" w:rsidP="00D522E3">
            <w:pPr>
              <w:rPr>
                <w:lang w:val="en-US"/>
              </w:rPr>
            </w:pPr>
            <w:r w:rsidRPr="00953C7A">
              <w:rPr>
                <w:lang w:val="en-US"/>
              </w:rPr>
              <w:t>Third Party Lenders</w:t>
            </w:r>
          </w:p>
          <w:p w:rsidR="00953C7A" w:rsidRPr="00953C7A" w:rsidRDefault="00953C7A" w:rsidP="00D522E3">
            <w:pPr>
              <w:rPr>
                <w:lang w:val="en-US"/>
              </w:rPr>
            </w:pPr>
            <w:r w:rsidRPr="00953C7A">
              <w:rPr>
                <w:lang w:val="en-US"/>
              </w:rPr>
              <w:t>Principals</w:t>
            </w:r>
          </w:p>
        </w:tc>
      </w:tr>
    </w:tbl>
    <w:p w:rsidR="00A845D6" w:rsidRPr="00953C7A" w:rsidRDefault="00D522E3" w:rsidP="00D522E3">
      <w:pPr>
        <w:rPr>
          <w:lang w:val="en-US"/>
        </w:rPr>
      </w:pPr>
      <w:r w:rsidRPr="00953C7A">
        <w:rPr>
          <w:lang w:val="en-US"/>
        </w:rPr>
        <w:t xml:space="preserve"> </w:t>
      </w:r>
    </w:p>
    <w:p w:rsidR="00C25224" w:rsidRPr="00C93968" w:rsidRDefault="00953C7A" w:rsidP="00C25224">
      <w:pPr>
        <w:rPr>
          <w:b/>
          <w:color w:val="C00000"/>
        </w:rPr>
      </w:pPr>
      <w:r w:rsidRPr="00C93968">
        <w:rPr>
          <w:b/>
          <w:color w:val="C00000"/>
        </w:rPr>
        <w:t>VI. La documentation juridique</w:t>
      </w:r>
    </w:p>
    <w:p w:rsidR="00C93968" w:rsidRDefault="00C93968" w:rsidP="00C93968">
      <w:pPr>
        <w:pStyle w:val="Paragraphedeliste"/>
        <w:numPr>
          <w:ilvl w:val="0"/>
          <w:numId w:val="5"/>
        </w:numPr>
      </w:pPr>
      <w:r w:rsidRPr="00C93968">
        <w:rPr>
          <w:b/>
        </w:rPr>
        <w:t xml:space="preserve">Securities </w:t>
      </w:r>
      <w:proofErr w:type="spellStart"/>
      <w:r w:rsidRPr="00C93968">
        <w:rPr>
          <w:b/>
        </w:rPr>
        <w:t>Lending</w:t>
      </w:r>
      <w:proofErr w:type="spellEnd"/>
      <w:r w:rsidRPr="00C93968">
        <w:rPr>
          <w:b/>
        </w:rPr>
        <w:t xml:space="preserve"> </w:t>
      </w:r>
      <w:proofErr w:type="spellStart"/>
      <w:r w:rsidRPr="00C93968">
        <w:rPr>
          <w:b/>
        </w:rPr>
        <w:t>Authorization</w:t>
      </w:r>
      <w:proofErr w:type="spellEnd"/>
      <w:r w:rsidRPr="00C93968">
        <w:rPr>
          <w:b/>
        </w:rPr>
        <w:t xml:space="preserve"> Agreement</w:t>
      </w:r>
      <w:r>
        <w:t xml:space="preserve"> = Contrat entre le propriétaire effectif et l’agent prêteur (</w:t>
      </w:r>
      <w:proofErr w:type="spellStart"/>
      <w:r>
        <w:t>Beneficial</w:t>
      </w:r>
      <w:proofErr w:type="spellEnd"/>
      <w:r>
        <w:t xml:space="preserve"> </w:t>
      </w:r>
      <w:proofErr w:type="spellStart"/>
      <w:r>
        <w:t>owner</w:t>
      </w:r>
      <w:proofErr w:type="spellEnd"/>
      <w:r>
        <w:t xml:space="preserve"> -&gt; </w:t>
      </w:r>
      <w:proofErr w:type="spellStart"/>
      <w:r>
        <w:t>lending</w:t>
      </w:r>
      <w:proofErr w:type="spellEnd"/>
      <w:r>
        <w:t xml:space="preserve"> agent)</w:t>
      </w:r>
    </w:p>
    <w:p w:rsidR="00953C7A" w:rsidRDefault="00C93968" w:rsidP="00C93968">
      <w:pPr>
        <w:pStyle w:val="Paragraphedeliste"/>
        <w:numPr>
          <w:ilvl w:val="0"/>
          <w:numId w:val="5"/>
        </w:numPr>
      </w:pPr>
      <w:r>
        <w:rPr>
          <w:b/>
        </w:rPr>
        <w:t>M</w:t>
      </w:r>
      <w:r w:rsidRPr="00C93968">
        <w:rPr>
          <w:b/>
        </w:rPr>
        <w:t xml:space="preserve">aster Securities </w:t>
      </w:r>
      <w:proofErr w:type="spellStart"/>
      <w:r w:rsidRPr="00C93968">
        <w:rPr>
          <w:b/>
        </w:rPr>
        <w:t>Lending</w:t>
      </w:r>
      <w:proofErr w:type="spellEnd"/>
      <w:r w:rsidRPr="00C93968">
        <w:rPr>
          <w:b/>
        </w:rPr>
        <w:t xml:space="preserve"> Agreement</w:t>
      </w:r>
      <w:r>
        <w:t xml:space="preserve"> = Contrat entre le prêteur et l’emprunteur (</w:t>
      </w:r>
      <w:proofErr w:type="spellStart"/>
      <w:r>
        <w:t>lender</w:t>
      </w:r>
      <w:proofErr w:type="spellEnd"/>
      <w:r>
        <w:t xml:space="preserve"> -&gt; </w:t>
      </w:r>
      <w:proofErr w:type="spellStart"/>
      <w:r>
        <w:t>borrower</w:t>
      </w:r>
      <w:proofErr w:type="spellEnd"/>
      <w:r>
        <w:t>)</w:t>
      </w:r>
    </w:p>
    <w:p w:rsidR="00C93968" w:rsidRDefault="00C93968" w:rsidP="00C93968">
      <w:r>
        <w:rPr>
          <w:noProof/>
          <w:lang w:eastAsia="fr-FR"/>
        </w:rPr>
        <w:drawing>
          <wp:inline distT="0" distB="0" distL="0" distR="0" wp14:anchorId="3E788222" wp14:editId="22170AA7">
            <wp:extent cx="5200650" cy="2873772"/>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357" cy="2879136"/>
                    </a:xfrm>
                    <a:prstGeom prst="rect">
                      <a:avLst/>
                    </a:prstGeom>
                  </pic:spPr>
                </pic:pic>
              </a:graphicData>
            </a:graphic>
          </wp:inline>
        </w:drawing>
      </w:r>
    </w:p>
    <w:p w:rsidR="00C93968" w:rsidRPr="00C93968" w:rsidRDefault="00C93968" w:rsidP="00C93968">
      <w:r w:rsidRPr="00C93968">
        <w:lastRenderedPageBreak/>
        <w:t>Contrats cadres de place (</w:t>
      </w:r>
      <w:proofErr w:type="spellStart"/>
      <w:r w:rsidRPr="00C93968">
        <w:rPr>
          <w:b/>
        </w:rPr>
        <w:t>Standardised</w:t>
      </w:r>
      <w:proofErr w:type="spellEnd"/>
      <w:r w:rsidRPr="00C93968">
        <w:rPr>
          <w:b/>
        </w:rPr>
        <w:t xml:space="preserve"> Master Agreement</w:t>
      </w:r>
      <w:r w:rsidRPr="00C93968">
        <w:t>)</w:t>
      </w:r>
      <w:r w:rsidR="00EC628B">
        <w:t xml:space="preserve"> : </w:t>
      </w:r>
      <w:r w:rsidR="00EC628B">
        <w:t>contrat</w:t>
      </w:r>
      <w:r w:rsidR="00EC628B">
        <w:t>s</w:t>
      </w:r>
      <w:r w:rsidR="00EC628B">
        <w:t xml:space="preserve"> qui englobe</w:t>
      </w:r>
      <w:r w:rsidR="00EC628B">
        <w:t>nt</w:t>
      </w:r>
      <w:r w:rsidR="00EC628B">
        <w:t xml:space="preserve"> tous les contrats. On va y mettre toutes les règles qui définissent la relation avec la contrepartie</w:t>
      </w:r>
    </w:p>
    <w:p w:rsidR="00C93968" w:rsidRPr="00C93968" w:rsidRDefault="00C93968" w:rsidP="00C93968">
      <w:pPr>
        <w:spacing w:after="0" w:line="240" w:lineRule="auto"/>
      </w:pPr>
      <w:r w:rsidRPr="00C93968">
        <w:t>•AFTI (Association Française des Professionnels du Titre)</w:t>
      </w:r>
    </w:p>
    <w:p w:rsidR="00C93968" w:rsidRPr="00C93968" w:rsidRDefault="00C93968" w:rsidP="00C93968">
      <w:pPr>
        <w:spacing w:after="0" w:line="240" w:lineRule="auto"/>
      </w:pPr>
      <w:r w:rsidRPr="00C93968">
        <w:t>•EMA (</w:t>
      </w:r>
      <w:proofErr w:type="spellStart"/>
      <w:r w:rsidRPr="00C93968">
        <w:t>European</w:t>
      </w:r>
      <w:proofErr w:type="spellEnd"/>
      <w:r w:rsidRPr="00C93968">
        <w:t xml:space="preserve"> Master Agreement) – Contrat cadre Européen</w:t>
      </w:r>
    </w:p>
    <w:p w:rsidR="00C93968" w:rsidRPr="00C93968" w:rsidRDefault="00C93968" w:rsidP="00C93968">
      <w:pPr>
        <w:spacing w:after="0" w:line="240" w:lineRule="auto"/>
        <w:rPr>
          <w:lang w:val="en-US"/>
        </w:rPr>
      </w:pPr>
      <w:r w:rsidRPr="00C93968">
        <w:rPr>
          <w:lang w:val="en-US"/>
        </w:rPr>
        <w:t xml:space="preserve">•OSLA / GMSLA – International market </w:t>
      </w:r>
      <w:proofErr w:type="spellStart"/>
      <w:r w:rsidRPr="00C93968">
        <w:rPr>
          <w:lang w:val="en-US"/>
        </w:rPr>
        <w:t>strandard</w:t>
      </w:r>
      <w:proofErr w:type="spellEnd"/>
    </w:p>
    <w:p w:rsidR="00C93968" w:rsidRDefault="00C93968" w:rsidP="00C93968">
      <w:pPr>
        <w:spacing w:after="0" w:line="240" w:lineRule="auto"/>
        <w:rPr>
          <w:lang w:val="en-US"/>
        </w:rPr>
      </w:pPr>
      <w:r w:rsidRPr="00C93968">
        <w:rPr>
          <w:lang w:val="en-US"/>
        </w:rPr>
        <w:t>•USMSLA – US market standard</w:t>
      </w:r>
    </w:p>
    <w:p w:rsidR="00C93968" w:rsidRDefault="00C93968" w:rsidP="00C93968">
      <w:pPr>
        <w:spacing w:after="0" w:line="240" w:lineRule="auto"/>
        <w:rPr>
          <w:lang w:val="en-US"/>
        </w:rPr>
      </w:pPr>
    </w:p>
    <w:p w:rsidR="00C93968" w:rsidRDefault="00C93968" w:rsidP="00C93968">
      <w:pPr>
        <w:spacing w:after="0" w:line="240" w:lineRule="auto"/>
        <w:rPr>
          <w:lang w:val="en-US"/>
        </w:rPr>
      </w:pPr>
      <w:r>
        <w:rPr>
          <w:lang w:val="en-US"/>
        </w:rPr>
        <w:t xml:space="preserve">Le </w:t>
      </w:r>
      <w:proofErr w:type="spellStart"/>
      <w:r>
        <w:rPr>
          <w:lang w:val="en-US"/>
        </w:rPr>
        <w:t>contrat</w:t>
      </w:r>
      <w:proofErr w:type="spellEnd"/>
      <w:r>
        <w:rPr>
          <w:lang w:val="en-US"/>
        </w:rPr>
        <w:t xml:space="preserve"> </w:t>
      </w:r>
      <w:proofErr w:type="spellStart"/>
      <w:r>
        <w:rPr>
          <w:lang w:val="en-US"/>
        </w:rPr>
        <w:t>décrit</w:t>
      </w:r>
      <w:proofErr w:type="spellEnd"/>
      <w:r>
        <w:rPr>
          <w:lang w:val="en-US"/>
        </w:rPr>
        <w:t xml:space="preserve"> :</w:t>
      </w:r>
    </w:p>
    <w:p w:rsidR="00C93968" w:rsidRDefault="00C93968" w:rsidP="00C93968">
      <w:pPr>
        <w:spacing w:after="0" w:line="240" w:lineRule="auto"/>
        <w:rPr>
          <w:lang w:val="en-US"/>
        </w:rPr>
      </w:pPr>
    </w:p>
    <w:p w:rsidR="00C93968" w:rsidRDefault="00C93968" w:rsidP="00C93968">
      <w:pPr>
        <w:pStyle w:val="Paragraphedeliste"/>
        <w:numPr>
          <w:ilvl w:val="0"/>
          <w:numId w:val="6"/>
        </w:numPr>
        <w:spacing w:after="0" w:line="240" w:lineRule="auto"/>
      </w:pPr>
      <w:r w:rsidRPr="00C93968">
        <w:t>Les relations entre le propriétaire des titres / son agent pr</w:t>
      </w:r>
      <w:r>
        <w:t xml:space="preserve">êteur </w:t>
      </w:r>
    </w:p>
    <w:p w:rsidR="00C93968" w:rsidRDefault="00C93968" w:rsidP="00C93968">
      <w:pPr>
        <w:pStyle w:val="Paragraphedeliste"/>
        <w:numPr>
          <w:ilvl w:val="0"/>
          <w:numId w:val="6"/>
        </w:numPr>
        <w:spacing w:after="0" w:line="240" w:lineRule="auto"/>
      </w:pPr>
      <w:r>
        <w:t>Les responsabilités de l’agent</w:t>
      </w:r>
    </w:p>
    <w:p w:rsidR="00C93968" w:rsidRDefault="00C93968" w:rsidP="00C93968">
      <w:pPr>
        <w:pStyle w:val="Paragraphedeliste"/>
        <w:numPr>
          <w:ilvl w:val="0"/>
          <w:numId w:val="6"/>
        </w:numPr>
        <w:spacing w:after="0" w:line="240" w:lineRule="auto"/>
      </w:pPr>
      <w:r>
        <w:t>Les types de collatéraux acceptables (cash/non cash/</w:t>
      </w:r>
      <w:proofErr w:type="spellStart"/>
      <w:r>
        <w:t>currency</w:t>
      </w:r>
      <w:proofErr w:type="spellEnd"/>
      <w:r>
        <w:t xml:space="preserve">, </w:t>
      </w:r>
      <w:proofErr w:type="spellStart"/>
      <w:r>
        <w:t>etc</w:t>
      </w:r>
      <w:proofErr w:type="spellEnd"/>
      <w:r>
        <w:t>)</w:t>
      </w:r>
    </w:p>
    <w:p w:rsidR="00C93968" w:rsidRDefault="00C93968" w:rsidP="00C93968">
      <w:pPr>
        <w:pStyle w:val="Paragraphedeliste"/>
        <w:numPr>
          <w:ilvl w:val="0"/>
          <w:numId w:val="6"/>
        </w:numPr>
        <w:spacing w:after="0" w:line="240" w:lineRule="auto"/>
      </w:pPr>
      <w:r>
        <w:t>La politique de réinvestissement du collatéral cash</w:t>
      </w:r>
    </w:p>
    <w:p w:rsidR="00C93968" w:rsidRDefault="00C93968" w:rsidP="00C93968">
      <w:pPr>
        <w:spacing w:after="0" w:line="240" w:lineRule="auto"/>
      </w:pPr>
    </w:p>
    <w:p w:rsidR="00C93968" w:rsidRDefault="00C93968" w:rsidP="00C93968">
      <w:pPr>
        <w:spacing w:after="0" w:line="240" w:lineRule="auto"/>
      </w:pPr>
      <w:r>
        <w:t>Les contrats cadres standards (OSLA/USMSLA) :</w:t>
      </w:r>
    </w:p>
    <w:p w:rsidR="00C93968" w:rsidRDefault="00C93968" w:rsidP="00C93968">
      <w:pPr>
        <w:spacing w:after="0" w:line="240" w:lineRule="auto"/>
      </w:pPr>
    </w:p>
    <w:p w:rsidR="00C93968" w:rsidRDefault="00C93968" w:rsidP="00C93968">
      <w:pPr>
        <w:pStyle w:val="Paragraphedeliste"/>
        <w:numPr>
          <w:ilvl w:val="0"/>
          <w:numId w:val="6"/>
        </w:numPr>
        <w:spacing w:after="0" w:line="240" w:lineRule="auto"/>
      </w:pPr>
      <w:r>
        <w:t>Couvrent le prêt de titres de tous les marchés (anomalies spécifiques sur certains marchés couvertes par un document additionnel au contrat)</w:t>
      </w:r>
    </w:p>
    <w:p w:rsidR="00C93968" w:rsidRDefault="00C93968" w:rsidP="00C93968">
      <w:pPr>
        <w:pStyle w:val="Paragraphedeliste"/>
        <w:numPr>
          <w:ilvl w:val="0"/>
          <w:numId w:val="6"/>
        </w:numPr>
        <w:spacing w:after="0" w:line="240" w:lineRule="auto"/>
      </w:pPr>
      <w:r>
        <w:t>Décrivent les relations / responsabilités respectives du prêteur vis-à-vis de l’emprunteur</w:t>
      </w:r>
    </w:p>
    <w:p w:rsidR="00C93968" w:rsidRDefault="00C93968" w:rsidP="00C93968">
      <w:pPr>
        <w:pStyle w:val="Paragraphedeliste"/>
        <w:numPr>
          <w:ilvl w:val="0"/>
          <w:numId w:val="6"/>
        </w:numPr>
        <w:spacing w:after="0" w:line="240" w:lineRule="auto"/>
      </w:pPr>
      <w:r>
        <w:t>Contrats financiers bilatéraux</w:t>
      </w:r>
    </w:p>
    <w:p w:rsidR="00C93968" w:rsidRDefault="00C93968" w:rsidP="00C93968">
      <w:pPr>
        <w:pStyle w:val="Paragraphedeliste"/>
        <w:numPr>
          <w:ilvl w:val="0"/>
          <w:numId w:val="6"/>
        </w:numPr>
        <w:spacing w:after="0" w:line="240" w:lineRule="auto"/>
      </w:pPr>
      <w:r>
        <w:t xml:space="preserve">Transfert de propriété </w:t>
      </w:r>
    </w:p>
    <w:p w:rsidR="00C93968" w:rsidRDefault="00C93968" w:rsidP="00C93968">
      <w:pPr>
        <w:pStyle w:val="Paragraphedeliste"/>
        <w:numPr>
          <w:ilvl w:val="0"/>
          <w:numId w:val="6"/>
        </w:numPr>
        <w:spacing w:after="0" w:line="240" w:lineRule="auto"/>
      </w:pPr>
      <w:r>
        <w:t xml:space="preserve">Emprunteur dispose librement des titres prêtés </w:t>
      </w:r>
    </w:p>
    <w:p w:rsidR="00C93968" w:rsidRDefault="00C93968" w:rsidP="00C93968">
      <w:pPr>
        <w:pStyle w:val="Paragraphedeliste"/>
        <w:numPr>
          <w:ilvl w:val="0"/>
          <w:numId w:val="6"/>
        </w:numPr>
        <w:spacing w:after="0" w:line="240" w:lineRule="auto"/>
      </w:pPr>
      <w:r>
        <w:t xml:space="preserve">Décrivent le collatéral en garantie (type, substitution, </w:t>
      </w:r>
      <w:proofErr w:type="spellStart"/>
      <w:r>
        <w:t>etc</w:t>
      </w:r>
      <w:proofErr w:type="spellEnd"/>
      <w:r>
        <w:t>)</w:t>
      </w:r>
    </w:p>
    <w:p w:rsidR="00C93968" w:rsidRDefault="00C93968" w:rsidP="00C93968">
      <w:pPr>
        <w:spacing w:after="0" w:line="240" w:lineRule="auto"/>
      </w:pPr>
    </w:p>
    <w:p w:rsidR="00C93968" w:rsidRDefault="00C93968" w:rsidP="00C93968">
      <w:pPr>
        <w:spacing w:after="0" w:line="240" w:lineRule="auto"/>
        <w:rPr>
          <w:b/>
          <w:u w:val="single"/>
        </w:rPr>
      </w:pPr>
      <w:r>
        <w:rPr>
          <w:b/>
          <w:u w:val="single"/>
        </w:rPr>
        <w:t>Les accords commerciaux ne peuvent subroger les dispositions règlementaires</w:t>
      </w:r>
    </w:p>
    <w:p w:rsidR="00C93968" w:rsidRDefault="00C93968" w:rsidP="00C93968">
      <w:pPr>
        <w:spacing w:after="0" w:line="240" w:lineRule="auto"/>
        <w:rPr>
          <w:b/>
          <w:u w:val="single"/>
        </w:rPr>
      </w:pPr>
    </w:p>
    <w:p w:rsidR="00C93968" w:rsidRPr="00C93968" w:rsidRDefault="00C93968" w:rsidP="00C93968">
      <w:pPr>
        <w:pStyle w:val="Paragraphedeliste"/>
        <w:numPr>
          <w:ilvl w:val="0"/>
          <w:numId w:val="6"/>
        </w:numPr>
        <w:spacing w:after="0" w:line="240" w:lineRule="auto"/>
        <w:rPr>
          <w:b/>
          <w:u w:val="single"/>
        </w:rPr>
      </w:pPr>
      <w:r>
        <w:t xml:space="preserve">Valorisation des titre </w:t>
      </w:r>
      <w:proofErr w:type="spellStart"/>
      <w:r>
        <w:t>MtoM</w:t>
      </w:r>
      <w:proofErr w:type="spellEnd"/>
    </w:p>
    <w:p w:rsidR="00C93968" w:rsidRPr="00C93968" w:rsidRDefault="00C93968" w:rsidP="00C93968">
      <w:pPr>
        <w:pStyle w:val="Paragraphedeliste"/>
        <w:numPr>
          <w:ilvl w:val="0"/>
          <w:numId w:val="6"/>
        </w:numPr>
        <w:spacing w:after="0" w:line="240" w:lineRule="auto"/>
        <w:rPr>
          <w:b/>
          <w:u w:val="single"/>
        </w:rPr>
      </w:pPr>
      <w:r>
        <w:t xml:space="preserve">Rémunération </w:t>
      </w:r>
      <w:proofErr w:type="spellStart"/>
      <w:r>
        <w:t>nettée</w:t>
      </w:r>
      <w:proofErr w:type="spellEnd"/>
      <w:r>
        <w:t xml:space="preserve"> du cash </w:t>
      </w:r>
      <w:proofErr w:type="spellStart"/>
      <w:r>
        <w:t>collat</w:t>
      </w:r>
      <w:proofErr w:type="spellEnd"/>
    </w:p>
    <w:p w:rsidR="00C93968" w:rsidRPr="00D0716F" w:rsidRDefault="00D0716F" w:rsidP="00C93968">
      <w:pPr>
        <w:pStyle w:val="Paragraphedeliste"/>
        <w:numPr>
          <w:ilvl w:val="0"/>
          <w:numId w:val="6"/>
        </w:numPr>
        <w:spacing w:after="0" w:line="240" w:lineRule="auto"/>
        <w:rPr>
          <w:b/>
          <w:u w:val="single"/>
        </w:rPr>
      </w:pPr>
      <w:proofErr w:type="spellStart"/>
      <w:r>
        <w:t>Fees</w:t>
      </w:r>
      <w:proofErr w:type="spellEnd"/>
      <w:r>
        <w:t xml:space="preserve"> calculés sur valeur des titres prêtés </w:t>
      </w:r>
    </w:p>
    <w:p w:rsidR="00D0716F" w:rsidRPr="00D0716F" w:rsidRDefault="00D0716F" w:rsidP="00C93968">
      <w:pPr>
        <w:pStyle w:val="Paragraphedeliste"/>
        <w:numPr>
          <w:ilvl w:val="0"/>
          <w:numId w:val="6"/>
        </w:numPr>
        <w:spacing w:after="0" w:line="240" w:lineRule="auto"/>
        <w:rPr>
          <w:b/>
          <w:u w:val="single"/>
        </w:rPr>
      </w:pPr>
      <w:r>
        <w:t>Distributions : OST notifiées, droit de vote perdu par le prêteur</w:t>
      </w:r>
    </w:p>
    <w:p w:rsidR="00D0716F" w:rsidRDefault="00D0716F" w:rsidP="00D0716F">
      <w:pPr>
        <w:pStyle w:val="Paragraphedeliste"/>
        <w:numPr>
          <w:ilvl w:val="0"/>
          <w:numId w:val="6"/>
        </w:numPr>
        <w:spacing w:after="0" w:line="240" w:lineRule="auto"/>
      </w:pPr>
      <w:r w:rsidRPr="00D0716F">
        <w:t xml:space="preserve">Cash : </w:t>
      </w:r>
      <w:proofErr w:type="spellStart"/>
      <w:r w:rsidRPr="00D0716F">
        <w:t>Manufactured</w:t>
      </w:r>
      <w:proofErr w:type="spellEnd"/>
      <w:r w:rsidRPr="00D0716F">
        <w:t xml:space="preserve"> </w:t>
      </w:r>
      <w:proofErr w:type="spellStart"/>
      <w:r w:rsidRPr="00D0716F">
        <w:t>dividends</w:t>
      </w:r>
      <w:proofErr w:type="spellEnd"/>
      <w:r w:rsidRPr="00D0716F">
        <w:t>. L’emprunteur paye au prêteur un montant cash équivalent au montant du dividende tel que le prêteur l’aurait perçu s’i</w:t>
      </w:r>
      <w:r>
        <w:t>l n’avait pas prêté ses titres</w:t>
      </w:r>
    </w:p>
    <w:p w:rsidR="00D0716F" w:rsidRDefault="00D0716F" w:rsidP="00D0716F">
      <w:pPr>
        <w:pStyle w:val="Paragraphedeliste"/>
        <w:numPr>
          <w:ilvl w:val="0"/>
          <w:numId w:val="6"/>
        </w:numPr>
        <w:spacing w:after="0" w:line="240" w:lineRule="auto"/>
      </w:pPr>
      <w:proofErr w:type="spellStart"/>
      <w:r>
        <w:t>Recall</w:t>
      </w:r>
      <w:proofErr w:type="spellEnd"/>
      <w:r>
        <w:t xml:space="preserve"> (</w:t>
      </w:r>
      <w:proofErr w:type="spellStart"/>
      <w:r>
        <w:t>recall</w:t>
      </w:r>
      <w:proofErr w:type="spellEnd"/>
      <w:r>
        <w:t xml:space="preserve"> notice)</w:t>
      </w:r>
    </w:p>
    <w:p w:rsidR="00D0716F" w:rsidRDefault="00D0716F" w:rsidP="00D0716F">
      <w:pPr>
        <w:spacing w:after="0" w:line="240" w:lineRule="auto"/>
      </w:pPr>
    </w:p>
    <w:p w:rsidR="00D0716F" w:rsidRDefault="00D0716F" w:rsidP="00D0716F">
      <w:pPr>
        <w:spacing w:after="0" w:line="240" w:lineRule="auto"/>
      </w:pPr>
      <w:r w:rsidRPr="00D0716F">
        <w:t>Résiliation d’une relation de prêt de titres (</w:t>
      </w:r>
      <w:proofErr w:type="spellStart"/>
      <w:r w:rsidRPr="00D0716F">
        <w:t>Termination</w:t>
      </w:r>
      <w:proofErr w:type="spellEnd"/>
      <w:r w:rsidRPr="00D0716F">
        <w:t xml:space="preserve"> Securities </w:t>
      </w:r>
      <w:proofErr w:type="spellStart"/>
      <w:r w:rsidRPr="00D0716F">
        <w:t>Lending</w:t>
      </w:r>
      <w:proofErr w:type="spellEnd"/>
      <w:r w:rsidRPr="00D0716F">
        <w:t xml:space="preserve"> Relationship)</w:t>
      </w:r>
      <w:r>
        <w:t> : Autorisée par une notification écrite de résiliation de toutes les transactions couvertes par le contrat de prêt de titres et obligation de s’assurer que toutes les positions ouvertes ont été clôturées. Si emprunteur ne peut reconstituer le prêt, prêteur peut utiliser le collatéral</w:t>
      </w:r>
    </w:p>
    <w:p w:rsidR="00D0716F" w:rsidRDefault="00D0716F" w:rsidP="00D0716F">
      <w:pPr>
        <w:spacing w:after="0" w:line="240" w:lineRule="auto"/>
      </w:pPr>
    </w:p>
    <w:p w:rsidR="00D0716F" w:rsidRDefault="00D0716F" w:rsidP="00D0716F">
      <w:pPr>
        <w:spacing w:after="0" w:line="240" w:lineRule="auto"/>
        <w:rPr>
          <w:i/>
        </w:rPr>
      </w:pPr>
      <w:r>
        <w:rPr>
          <w:i/>
        </w:rPr>
        <w:t>Problématiques fiscales :</w:t>
      </w:r>
    </w:p>
    <w:p w:rsidR="00D0716F" w:rsidRDefault="00D0716F" w:rsidP="00D0716F">
      <w:pPr>
        <w:spacing w:after="0" w:line="240" w:lineRule="auto"/>
        <w:rPr>
          <w:i/>
        </w:rPr>
      </w:pPr>
    </w:p>
    <w:p w:rsidR="00D0716F" w:rsidRPr="00D0716F" w:rsidRDefault="00D0716F" w:rsidP="00D0716F">
      <w:pPr>
        <w:pStyle w:val="Paragraphedeliste"/>
        <w:numPr>
          <w:ilvl w:val="0"/>
          <w:numId w:val="6"/>
        </w:numPr>
        <w:spacing w:after="0" w:line="240" w:lineRule="auto"/>
      </w:pPr>
      <w:r w:rsidRPr="00D0716F">
        <w:t>Droits de timbre et taxes de transaction (</w:t>
      </w:r>
      <w:proofErr w:type="spellStart"/>
      <w:r w:rsidRPr="00D0716F">
        <w:t>Stamp</w:t>
      </w:r>
      <w:proofErr w:type="spellEnd"/>
      <w:r w:rsidRPr="00D0716F">
        <w:t xml:space="preserve"> </w:t>
      </w:r>
      <w:proofErr w:type="spellStart"/>
      <w:r w:rsidRPr="00D0716F">
        <w:t>Duties</w:t>
      </w:r>
      <w:proofErr w:type="spellEnd"/>
      <w:r w:rsidRPr="00D0716F">
        <w:t xml:space="preserve"> and Transaction taxes);</w:t>
      </w:r>
    </w:p>
    <w:p w:rsidR="00D0716F" w:rsidRPr="00D0716F" w:rsidRDefault="00D0716F" w:rsidP="00D0716F">
      <w:pPr>
        <w:pStyle w:val="Paragraphedeliste"/>
        <w:numPr>
          <w:ilvl w:val="0"/>
          <w:numId w:val="6"/>
        </w:numPr>
        <w:spacing w:after="0" w:line="240" w:lineRule="auto"/>
      </w:pPr>
      <w:r w:rsidRPr="00D0716F">
        <w:t>Taxe sur indemnité de dividendes(</w:t>
      </w:r>
      <w:proofErr w:type="spellStart"/>
      <w:r w:rsidRPr="00D0716F">
        <w:t>tax</w:t>
      </w:r>
      <w:proofErr w:type="spellEnd"/>
      <w:r w:rsidRPr="00D0716F">
        <w:t xml:space="preserve"> on </w:t>
      </w:r>
      <w:proofErr w:type="spellStart"/>
      <w:r w:rsidRPr="00D0716F">
        <w:t>manufactured</w:t>
      </w:r>
      <w:proofErr w:type="spellEnd"/>
      <w:r w:rsidRPr="00D0716F">
        <w:t xml:space="preserve"> </w:t>
      </w:r>
      <w:proofErr w:type="spellStart"/>
      <w:r w:rsidRPr="00D0716F">
        <w:t>dividends</w:t>
      </w:r>
      <w:proofErr w:type="spellEnd"/>
      <w:r w:rsidRPr="00D0716F">
        <w:t>);</w:t>
      </w:r>
    </w:p>
    <w:p w:rsidR="00D0716F" w:rsidRPr="00D0716F" w:rsidRDefault="00D0716F" w:rsidP="00D0716F">
      <w:pPr>
        <w:pStyle w:val="Paragraphedeliste"/>
        <w:numPr>
          <w:ilvl w:val="0"/>
          <w:numId w:val="6"/>
        </w:numPr>
        <w:spacing w:after="0" w:line="240" w:lineRule="auto"/>
      </w:pPr>
      <w:r w:rsidRPr="00D0716F">
        <w:t>Taxe sur les revenus du prêt de titres (</w:t>
      </w:r>
      <w:proofErr w:type="spellStart"/>
      <w:r w:rsidRPr="00D0716F">
        <w:t>Tax</w:t>
      </w:r>
      <w:proofErr w:type="spellEnd"/>
      <w:r w:rsidRPr="00D0716F">
        <w:t xml:space="preserve"> on </w:t>
      </w:r>
      <w:proofErr w:type="spellStart"/>
      <w:r w:rsidRPr="00D0716F">
        <w:t>securities</w:t>
      </w:r>
      <w:proofErr w:type="spellEnd"/>
      <w:r w:rsidRPr="00D0716F">
        <w:t xml:space="preserve"> </w:t>
      </w:r>
      <w:proofErr w:type="spellStart"/>
      <w:r w:rsidRPr="00D0716F">
        <w:t>lending</w:t>
      </w:r>
      <w:proofErr w:type="spellEnd"/>
      <w:r w:rsidRPr="00D0716F">
        <w:t xml:space="preserve"> </w:t>
      </w:r>
      <w:proofErr w:type="spellStart"/>
      <w:r w:rsidRPr="00D0716F">
        <w:t>fee</w:t>
      </w:r>
      <w:proofErr w:type="spellEnd"/>
      <w:r w:rsidRPr="00D0716F">
        <w:t xml:space="preserve"> </w:t>
      </w:r>
      <w:proofErr w:type="spellStart"/>
      <w:r w:rsidRPr="00D0716F">
        <w:t>income</w:t>
      </w:r>
      <w:proofErr w:type="spellEnd"/>
      <w:r w:rsidRPr="00D0716F">
        <w:t>);</w:t>
      </w:r>
    </w:p>
    <w:p w:rsidR="00D0716F" w:rsidRPr="00D0716F" w:rsidRDefault="00D0716F" w:rsidP="00D0716F">
      <w:pPr>
        <w:pStyle w:val="Paragraphedeliste"/>
        <w:numPr>
          <w:ilvl w:val="0"/>
          <w:numId w:val="6"/>
        </w:numPr>
        <w:spacing w:after="0" w:line="240" w:lineRule="auto"/>
      </w:pPr>
      <w:r w:rsidRPr="00D0716F">
        <w:t xml:space="preserve">Taxe sur plus-values (Capital Gains </w:t>
      </w:r>
      <w:proofErr w:type="spellStart"/>
      <w:r w:rsidRPr="00D0716F">
        <w:t>Tax</w:t>
      </w:r>
      <w:proofErr w:type="spellEnd"/>
      <w:r w:rsidRPr="00D0716F">
        <w:t>);</w:t>
      </w:r>
    </w:p>
    <w:p w:rsidR="00D0716F" w:rsidRPr="00D0716F" w:rsidRDefault="00D0716F" w:rsidP="00D0716F">
      <w:pPr>
        <w:pStyle w:val="Paragraphedeliste"/>
        <w:numPr>
          <w:ilvl w:val="0"/>
          <w:numId w:val="6"/>
        </w:numPr>
        <w:spacing w:after="0" w:line="240" w:lineRule="auto"/>
        <w:rPr>
          <w:lang w:val="en-US"/>
        </w:rPr>
      </w:pPr>
      <w:r w:rsidRPr="00D0716F">
        <w:rPr>
          <w:lang w:val="en-US"/>
        </w:rPr>
        <w:t>Commercial requirements of the transaction;</w:t>
      </w:r>
    </w:p>
    <w:p w:rsidR="00C93968" w:rsidRDefault="00C93968" w:rsidP="00C93968">
      <w:pPr>
        <w:spacing w:after="0" w:line="240" w:lineRule="auto"/>
        <w:rPr>
          <w:lang w:val="en-US"/>
        </w:rPr>
      </w:pPr>
    </w:p>
    <w:p w:rsidR="00D0716F" w:rsidRDefault="00D0716F" w:rsidP="00C93968">
      <w:pPr>
        <w:spacing w:after="0" w:line="240" w:lineRule="auto"/>
        <w:rPr>
          <w:lang w:val="en-US"/>
        </w:rPr>
      </w:pPr>
      <w:r>
        <w:rPr>
          <w:noProof/>
          <w:lang w:eastAsia="fr-FR"/>
        </w:rPr>
        <w:lastRenderedPageBreak/>
        <w:drawing>
          <wp:inline distT="0" distB="0" distL="0" distR="0" wp14:anchorId="4DD15F99" wp14:editId="764BC344">
            <wp:extent cx="5972175" cy="3635180"/>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8864" cy="3639251"/>
                    </a:xfrm>
                    <a:prstGeom prst="rect">
                      <a:avLst/>
                    </a:prstGeom>
                  </pic:spPr>
                </pic:pic>
              </a:graphicData>
            </a:graphic>
          </wp:inline>
        </w:drawing>
      </w:r>
    </w:p>
    <w:p w:rsidR="000B2187" w:rsidRDefault="000B2187" w:rsidP="00C93968">
      <w:pPr>
        <w:spacing w:after="0" w:line="240" w:lineRule="auto"/>
        <w:rPr>
          <w:lang w:val="en-US"/>
        </w:rPr>
      </w:pPr>
    </w:p>
    <w:p w:rsidR="000B2187" w:rsidRDefault="000B2187" w:rsidP="00C93968">
      <w:pPr>
        <w:spacing w:after="0" w:line="240" w:lineRule="auto"/>
        <w:rPr>
          <w:b/>
          <w:u w:val="single"/>
          <w:lang w:val="en-US"/>
        </w:rPr>
      </w:pPr>
      <w:proofErr w:type="spellStart"/>
      <w:r w:rsidRPr="000B2187">
        <w:rPr>
          <w:b/>
          <w:u w:val="single"/>
          <w:lang w:val="en-US"/>
        </w:rPr>
        <w:t>Définitions</w:t>
      </w:r>
      <w:proofErr w:type="spellEnd"/>
      <w:r w:rsidRPr="000B2187">
        <w:rPr>
          <w:b/>
          <w:u w:val="single"/>
          <w:lang w:val="en-US"/>
        </w:rPr>
        <w:t xml:space="preserve"> </w:t>
      </w:r>
      <w:proofErr w:type="spellStart"/>
      <w:r w:rsidRPr="000B2187">
        <w:rPr>
          <w:b/>
          <w:u w:val="single"/>
          <w:lang w:val="en-US"/>
        </w:rPr>
        <w:t>importantes</w:t>
      </w:r>
      <w:proofErr w:type="spellEnd"/>
      <w:r w:rsidRPr="000B2187">
        <w:rPr>
          <w:b/>
          <w:u w:val="single"/>
          <w:lang w:val="en-US"/>
        </w:rPr>
        <w:t xml:space="preserve"> :</w:t>
      </w:r>
    </w:p>
    <w:p w:rsidR="000B2187" w:rsidRDefault="000B2187" w:rsidP="00C93968">
      <w:pPr>
        <w:spacing w:after="0" w:line="240" w:lineRule="auto"/>
        <w:rPr>
          <w:b/>
          <w:u w:val="single"/>
          <w:lang w:val="en-US"/>
        </w:rPr>
      </w:pPr>
    </w:p>
    <w:p w:rsidR="000B2187" w:rsidRDefault="000B2187" w:rsidP="00C93968">
      <w:pPr>
        <w:spacing w:after="0" w:line="240" w:lineRule="auto"/>
      </w:pPr>
      <w:r w:rsidRPr="000B2187">
        <w:t xml:space="preserve">DPS : </w:t>
      </w:r>
      <w:r>
        <w:t>P</w:t>
      </w:r>
      <w:r>
        <w:t>ermet à l’actionnaire de souscrire en priorité à l’augmentation de capital d’une société, le nombre de droits à recevoir est déterminé en fonction du nombre d’actions anciennes détenues, les droit ont une échéance, sont côtés (ISIN différent) et ont une valeur intrinsèque. Après l’échéance, leur valeur est nulle</w:t>
      </w:r>
    </w:p>
    <w:p w:rsidR="000B2187" w:rsidRDefault="000B2187" w:rsidP="00C93968">
      <w:pPr>
        <w:spacing w:after="0" w:line="240" w:lineRule="auto"/>
      </w:pPr>
    </w:p>
    <w:p w:rsidR="000B2187" w:rsidRDefault="000B2187" w:rsidP="00C93968">
      <w:pPr>
        <w:spacing w:after="0" w:line="240" w:lineRule="auto"/>
      </w:pPr>
      <w:proofErr w:type="spellStart"/>
      <w:r>
        <w:t>Buy</w:t>
      </w:r>
      <w:proofErr w:type="spellEnd"/>
      <w:r>
        <w:t xml:space="preserve"> in : </w:t>
      </w:r>
      <w:r>
        <w:t xml:space="preserve">Lorsqu’un investisseur est incapable d’honorer la livraison des titres qu’il a vendu sur le marché, il sera notifié d’une procédure de </w:t>
      </w:r>
      <w:proofErr w:type="spellStart"/>
      <w:r>
        <w:t>Buy</w:t>
      </w:r>
      <w:proofErr w:type="spellEnd"/>
      <w:r>
        <w:t>-In. C’est une opération de rachat d’un contrat par le marché. En clair, c’est racheter les titres à n’importe quel prix sur le marché et envoyer la facture à la contrepartie, si la contrepartie ne veut pas ou ne peut pas rendre les titres</w:t>
      </w:r>
    </w:p>
    <w:p w:rsidR="000B2187" w:rsidRDefault="000B2187" w:rsidP="00C93968">
      <w:pPr>
        <w:spacing w:after="0" w:line="240" w:lineRule="auto"/>
      </w:pPr>
    </w:p>
    <w:p w:rsidR="000B2187" w:rsidRPr="000B2187" w:rsidRDefault="000B2187" w:rsidP="00C93968">
      <w:pPr>
        <w:spacing w:after="0" w:line="240" w:lineRule="auto"/>
      </w:pPr>
      <w:proofErr w:type="spellStart"/>
      <w:r>
        <w:t>Hair</w:t>
      </w:r>
      <w:proofErr w:type="spellEnd"/>
      <w:r>
        <w:t xml:space="preserve"> Cut : </w:t>
      </w:r>
      <w:r w:rsidR="005A07BA">
        <w:t xml:space="preserve">Le </w:t>
      </w:r>
      <w:proofErr w:type="spellStart"/>
      <w:r w:rsidR="005A07BA">
        <w:t>haircut</w:t>
      </w:r>
      <w:proofErr w:type="spellEnd"/>
      <w:r w:rsidR="005A07BA">
        <w:t xml:space="preserve"> correspond à un pourcentage déduit de la valeur de marché de titres donnés en collatéral dans le cadre d’un prêt garanti par des titres</w:t>
      </w:r>
      <w:r w:rsidR="005A07BA">
        <w:t xml:space="preserve">. Il </w:t>
      </w:r>
      <w:r w:rsidR="005A07BA">
        <w:t>a pour but de réduire le risque de perte en cas de défaut de l’emprunteur.</w:t>
      </w:r>
      <w:bookmarkStart w:id="0" w:name="_GoBack"/>
      <w:bookmarkEnd w:id="0"/>
    </w:p>
    <w:sectPr w:rsidR="000B2187" w:rsidRPr="000B21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C74F4"/>
    <w:multiLevelType w:val="hybridMultilevel"/>
    <w:tmpl w:val="F9A02E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FE2880"/>
    <w:multiLevelType w:val="hybridMultilevel"/>
    <w:tmpl w:val="10D41034"/>
    <w:lvl w:ilvl="0" w:tplc="43B0269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DF3E61"/>
    <w:multiLevelType w:val="hybridMultilevel"/>
    <w:tmpl w:val="B9B61C54"/>
    <w:lvl w:ilvl="0" w:tplc="7D8A8640">
      <w:start w:val="75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3E5B52"/>
    <w:multiLevelType w:val="hybridMultilevel"/>
    <w:tmpl w:val="565EE478"/>
    <w:lvl w:ilvl="0" w:tplc="43B0269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610EE0"/>
    <w:multiLevelType w:val="hybridMultilevel"/>
    <w:tmpl w:val="B31CC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691E5E"/>
    <w:multiLevelType w:val="hybridMultilevel"/>
    <w:tmpl w:val="77AA1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D36049"/>
    <w:multiLevelType w:val="hybridMultilevel"/>
    <w:tmpl w:val="38F46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666"/>
    <w:rsid w:val="000B2187"/>
    <w:rsid w:val="0019140E"/>
    <w:rsid w:val="0019563E"/>
    <w:rsid w:val="00244B56"/>
    <w:rsid w:val="002C2CD1"/>
    <w:rsid w:val="002D003B"/>
    <w:rsid w:val="002E26B4"/>
    <w:rsid w:val="003C3E49"/>
    <w:rsid w:val="004408F3"/>
    <w:rsid w:val="004E1A8F"/>
    <w:rsid w:val="00517130"/>
    <w:rsid w:val="005A07BA"/>
    <w:rsid w:val="005C2609"/>
    <w:rsid w:val="005D0666"/>
    <w:rsid w:val="007955F5"/>
    <w:rsid w:val="007974A9"/>
    <w:rsid w:val="008460D0"/>
    <w:rsid w:val="008D07F0"/>
    <w:rsid w:val="00953C7A"/>
    <w:rsid w:val="009F1F5B"/>
    <w:rsid w:val="00A845D6"/>
    <w:rsid w:val="00AE1465"/>
    <w:rsid w:val="00B171FF"/>
    <w:rsid w:val="00B953BB"/>
    <w:rsid w:val="00BB7E98"/>
    <w:rsid w:val="00BC5195"/>
    <w:rsid w:val="00C25224"/>
    <w:rsid w:val="00C93968"/>
    <w:rsid w:val="00CF1268"/>
    <w:rsid w:val="00D0716F"/>
    <w:rsid w:val="00D522E3"/>
    <w:rsid w:val="00DA7A60"/>
    <w:rsid w:val="00EC628B"/>
    <w:rsid w:val="00EE4E66"/>
    <w:rsid w:val="00F57A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7D47"/>
  <w15:chartTrackingRefBased/>
  <w15:docId w15:val="{2B0FCB77-9656-4EB2-ABCF-4ED0032C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C3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91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Data" Target="diagrams/data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Layout" Target="diagrams/layout1.xml"/><Relationship Id="rId12" Type="http://schemas.openxmlformats.org/officeDocument/2006/relationships/image" Target="media/image3.png"/><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diagramQuickStyle" Target="diagrams/quickStyle2.xml"/><Relationship Id="rId23" Type="http://schemas.openxmlformats.org/officeDocument/2006/relationships/image" Target="media/image9.png"/><Relationship Id="rId10" Type="http://schemas.microsoft.com/office/2007/relationships/diagramDrawing" Target="diagrams/drawing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Layout" Target="diagrams/layout2.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48A5AA-3CB1-40F4-A423-FA7BB72C8466}" type="doc">
      <dgm:prSet loTypeId="urn:microsoft.com/office/officeart/2005/8/layout/process5" loCatId="process" qsTypeId="urn:microsoft.com/office/officeart/2005/8/quickstyle/simple1" qsCatId="simple" csTypeId="urn:microsoft.com/office/officeart/2005/8/colors/colorful3" csCatId="colorful" phldr="1"/>
      <dgm:spPr/>
      <dgm:t>
        <a:bodyPr/>
        <a:lstStyle/>
        <a:p>
          <a:endParaRPr lang="fr-FR"/>
        </a:p>
      </dgm:t>
    </dgm:pt>
    <dgm:pt modelId="{B8191730-EA0E-44C9-931B-951BEA75D89E}">
      <dgm:prSet phldrT="[Texte]" custT="1"/>
      <dgm:spPr/>
      <dgm:t>
        <a:bodyPr/>
        <a:lstStyle/>
        <a:p>
          <a:pPr algn="ctr"/>
          <a:r>
            <a:rPr lang="fr-FR" sz="1200" b="1"/>
            <a:t>1. Recontre des besoins </a:t>
          </a:r>
          <a:br>
            <a:rPr lang="fr-FR" sz="1200" b="1"/>
          </a:br>
          <a:r>
            <a:rPr lang="fr-FR" sz="1000" b="0"/>
            <a:t>Vendeur : Besoin de liquidité, veut financer ses actifs en portefeuille</a:t>
          </a:r>
          <a:br>
            <a:rPr lang="fr-FR" sz="1000" b="0"/>
          </a:br>
          <a:r>
            <a:rPr lang="fr-FR" sz="1000" b="0"/>
            <a:t>Achteur : Veut rémunérer ses liquidités de manière sécurisée</a:t>
          </a:r>
        </a:p>
      </dgm:t>
    </dgm:pt>
    <dgm:pt modelId="{0E452148-7A71-4E1A-8F37-E8E49D422D4F}" type="parTrans" cxnId="{98BD212B-68B3-4DBF-8195-AC39E153C5F1}">
      <dgm:prSet/>
      <dgm:spPr/>
      <dgm:t>
        <a:bodyPr/>
        <a:lstStyle/>
        <a:p>
          <a:pPr algn="ctr"/>
          <a:endParaRPr lang="fr-FR"/>
        </a:p>
      </dgm:t>
    </dgm:pt>
    <dgm:pt modelId="{1C49FBF0-BCB7-4CBD-AB52-1708D6EA4782}" type="sibTrans" cxnId="{98BD212B-68B3-4DBF-8195-AC39E153C5F1}">
      <dgm:prSet/>
      <dgm:spPr/>
      <dgm:t>
        <a:bodyPr/>
        <a:lstStyle/>
        <a:p>
          <a:pPr algn="ctr"/>
          <a:endParaRPr lang="fr-FR"/>
        </a:p>
      </dgm:t>
    </dgm:pt>
    <dgm:pt modelId="{F281AD3F-3113-4764-ADEC-B10F33A7C09A}">
      <dgm:prSet phldrT="[Texte]" custT="1"/>
      <dgm:spPr/>
      <dgm:t>
        <a:bodyPr/>
        <a:lstStyle/>
        <a:p>
          <a:pPr algn="ctr"/>
          <a:r>
            <a:rPr lang="fr-FR" sz="1200" b="1"/>
            <a:t>2. Négociation des conditions </a:t>
          </a:r>
          <a:r>
            <a:rPr lang="fr-FR" sz="1000"/>
            <a:t/>
          </a:r>
          <a:br>
            <a:rPr lang="fr-FR" sz="1000"/>
          </a:br>
          <a:r>
            <a:rPr lang="fr-FR" sz="1000" b="0"/>
            <a:t>Nature du collatéral livré, durée, taux de commission</a:t>
          </a:r>
        </a:p>
      </dgm:t>
    </dgm:pt>
    <dgm:pt modelId="{37DB9009-2929-4538-956A-A6BD563A508E}" type="parTrans" cxnId="{5BF078D4-811D-4D10-9838-98307D3AC68C}">
      <dgm:prSet/>
      <dgm:spPr/>
      <dgm:t>
        <a:bodyPr/>
        <a:lstStyle/>
        <a:p>
          <a:pPr algn="ctr"/>
          <a:endParaRPr lang="fr-FR"/>
        </a:p>
      </dgm:t>
    </dgm:pt>
    <dgm:pt modelId="{4143253F-1170-4156-AE9D-6F27304A440B}" type="sibTrans" cxnId="{5BF078D4-811D-4D10-9838-98307D3AC68C}">
      <dgm:prSet/>
      <dgm:spPr/>
      <dgm:t>
        <a:bodyPr/>
        <a:lstStyle/>
        <a:p>
          <a:pPr algn="ctr"/>
          <a:endParaRPr lang="fr-FR"/>
        </a:p>
      </dgm:t>
    </dgm:pt>
    <dgm:pt modelId="{C780A7C5-EED5-43DF-A77D-77AFD58DD7E6}">
      <dgm:prSet phldrT="[Texte]" custT="1"/>
      <dgm:spPr/>
      <dgm:t>
        <a:bodyPr/>
        <a:lstStyle/>
        <a:p>
          <a:pPr algn="ctr"/>
          <a:r>
            <a:rPr lang="fr-FR" sz="1200" b="1"/>
            <a:t>3. Confirmation de transaction d'achat </a:t>
          </a:r>
          <a:r>
            <a:rPr lang="fr-FR" sz="1000"/>
            <a:t/>
          </a:r>
          <a:br>
            <a:rPr lang="fr-FR" sz="1000"/>
          </a:br>
          <a:r>
            <a:rPr lang="fr-FR" sz="1000" b="0"/>
            <a:t>Echange des infos sur le trade et les conditions de settlement (trade date, value date, PSET, taux, haircut, etc)</a:t>
          </a:r>
        </a:p>
      </dgm:t>
    </dgm:pt>
    <dgm:pt modelId="{230B014D-A680-43DD-A71E-54B33492D7A7}" type="parTrans" cxnId="{4393E9B8-3B82-45D1-844D-60ED9B4A11F7}">
      <dgm:prSet/>
      <dgm:spPr/>
      <dgm:t>
        <a:bodyPr/>
        <a:lstStyle/>
        <a:p>
          <a:pPr algn="ctr"/>
          <a:endParaRPr lang="fr-FR"/>
        </a:p>
      </dgm:t>
    </dgm:pt>
    <dgm:pt modelId="{DB519F1A-0FD8-4C00-ADD0-9E3E8B9A3E5F}" type="sibTrans" cxnId="{4393E9B8-3B82-45D1-844D-60ED9B4A11F7}">
      <dgm:prSet/>
      <dgm:spPr/>
      <dgm:t>
        <a:bodyPr/>
        <a:lstStyle/>
        <a:p>
          <a:pPr algn="ctr"/>
          <a:endParaRPr lang="fr-FR"/>
        </a:p>
      </dgm:t>
    </dgm:pt>
    <dgm:pt modelId="{90619555-C74A-416D-9647-B8FE6E74A59D}">
      <dgm:prSet phldrT="[Texte]" custT="1"/>
      <dgm:spPr/>
      <dgm:t>
        <a:bodyPr/>
        <a:lstStyle/>
        <a:p>
          <a:pPr algn="ctr"/>
          <a:r>
            <a:rPr lang="fr-FR" sz="1200" b="1"/>
            <a:t>4. Livraison / Settlement</a:t>
          </a:r>
          <a:br>
            <a:rPr lang="fr-FR" sz="1200" b="1"/>
          </a:br>
          <a:r>
            <a:rPr lang="fr-FR" sz="1000" b="0"/>
            <a:t>Echange des titres (collateral) et transfert des fonds entre les parties (DVP</a:t>
          </a:r>
          <a:r>
            <a:rPr lang="fr-FR" sz="1200"/>
            <a:t>)</a:t>
          </a:r>
        </a:p>
      </dgm:t>
    </dgm:pt>
    <dgm:pt modelId="{5D92FA49-6C13-4242-AADF-0031AF0F68CA}" type="parTrans" cxnId="{136005A8-210F-4B22-AFD5-307C83C4F160}">
      <dgm:prSet/>
      <dgm:spPr/>
      <dgm:t>
        <a:bodyPr/>
        <a:lstStyle/>
        <a:p>
          <a:pPr algn="ctr"/>
          <a:endParaRPr lang="fr-FR"/>
        </a:p>
      </dgm:t>
    </dgm:pt>
    <dgm:pt modelId="{5E01574D-D020-4964-8D54-EDE9BE48A895}" type="sibTrans" cxnId="{136005A8-210F-4B22-AFD5-307C83C4F160}">
      <dgm:prSet/>
      <dgm:spPr/>
      <dgm:t>
        <a:bodyPr/>
        <a:lstStyle/>
        <a:p>
          <a:pPr algn="ctr"/>
          <a:endParaRPr lang="fr-FR"/>
        </a:p>
      </dgm:t>
    </dgm:pt>
    <dgm:pt modelId="{673F84E2-7829-4279-A521-E233A41EDDD1}">
      <dgm:prSet phldrT="[Texte]" custT="1"/>
      <dgm:spPr/>
      <dgm:t>
        <a:bodyPr/>
        <a:lstStyle/>
        <a:p>
          <a:pPr algn="ctr"/>
          <a:r>
            <a:rPr lang="fr-FR" sz="1200" b="1"/>
            <a:t>5. Mark to Market journalie</a:t>
          </a:r>
          <a:r>
            <a:rPr lang="fr-FR" sz="1000"/>
            <a:t>r </a:t>
          </a:r>
          <a:br>
            <a:rPr lang="fr-FR" sz="1000"/>
          </a:br>
          <a:r>
            <a:rPr lang="fr-FR" sz="1000" b="0"/>
            <a:t>Evaluation MtoM journalière de l'acheteur et procède éventuellement aux appels de marge</a:t>
          </a:r>
        </a:p>
      </dgm:t>
    </dgm:pt>
    <dgm:pt modelId="{3F00ADF4-C53E-440F-977D-4ED4E8676931}" type="parTrans" cxnId="{59EB6367-F339-4EB6-AF18-987FB567DE1F}">
      <dgm:prSet/>
      <dgm:spPr/>
      <dgm:t>
        <a:bodyPr/>
        <a:lstStyle/>
        <a:p>
          <a:pPr algn="ctr"/>
          <a:endParaRPr lang="fr-FR"/>
        </a:p>
      </dgm:t>
    </dgm:pt>
    <dgm:pt modelId="{C9A95565-C014-43EE-8E96-EE1384715B57}" type="sibTrans" cxnId="{59EB6367-F339-4EB6-AF18-987FB567DE1F}">
      <dgm:prSet/>
      <dgm:spPr/>
      <dgm:t>
        <a:bodyPr/>
        <a:lstStyle/>
        <a:p>
          <a:pPr algn="ctr"/>
          <a:endParaRPr lang="fr-FR"/>
        </a:p>
      </dgm:t>
    </dgm:pt>
    <dgm:pt modelId="{27131CDE-728D-4825-B033-941D27DE390E}">
      <dgm:prSet phldrT="[Texte]" custT="1"/>
      <dgm:spPr/>
      <dgm:t>
        <a:bodyPr/>
        <a:lstStyle/>
        <a:p>
          <a:pPr algn="ctr"/>
          <a:r>
            <a:rPr lang="fr-FR" sz="1200" b="1"/>
            <a:t>6. Evenements possibles </a:t>
          </a:r>
          <a:r>
            <a:rPr lang="fr-FR" sz="1000"/>
            <a:t/>
          </a:r>
          <a:br>
            <a:rPr lang="fr-FR" sz="1000"/>
          </a:br>
          <a:r>
            <a:rPr lang="fr-FR" sz="1000" b="0"/>
            <a:t>Substitution du collatéral, re-pricing, OST, prolongation du terme (rollover)</a:t>
          </a:r>
        </a:p>
      </dgm:t>
    </dgm:pt>
    <dgm:pt modelId="{206D6742-B73B-494A-B8F0-FD47570424CA}" type="parTrans" cxnId="{0CD4DAB0-21E0-4CD3-A1A3-EB107A7FE77C}">
      <dgm:prSet/>
      <dgm:spPr/>
      <dgm:t>
        <a:bodyPr/>
        <a:lstStyle/>
        <a:p>
          <a:pPr algn="ctr"/>
          <a:endParaRPr lang="fr-FR"/>
        </a:p>
      </dgm:t>
    </dgm:pt>
    <dgm:pt modelId="{E1770A27-9B67-4384-BC09-3C1269DA15CA}" type="sibTrans" cxnId="{0CD4DAB0-21E0-4CD3-A1A3-EB107A7FE77C}">
      <dgm:prSet/>
      <dgm:spPr/>
      <dgm:t>
        <a:bodyPr/>
        <a:lstStyle/>
        <a:p>
          <a:pPr algn="ctr"/>
          <a:endParaRPr lang="fr-FR"/>
        </a:p>
      </dgm:t>
    </dgm:pt>
    <dgm:pt modelId="{649AEAF0-C7A1-42A4-8019-BAD33D1394A5}" type="pres">
      <dgm:prSet presAssocID="{4948A5AA-3CB1-40F4-A423-FA7BB72C8466}" presName="diagram" presStyleCnt="0">
        <dgm:presLayoutVars>
          <dgm:dir/>
          <dgm:resizeHandles val="exact"/>
        </dgm:presLayoutVars>
      </dgm:prSet>
      <dgm:spPr/>
      <dgm:t>
        <a:bodyPr/>
        <a:lstStyle/>
        <a:p>
          <a:endParaRPr lang="fr-FR"/>
        </a:p>
      </dgm:t>
    </dgm:pt>
    <dgm:pt modelId="{C1D821DB-B136-465E-8458-9E68B23564A3}" type="pres">
      <dgm:prSet presAssocID="{B8191730-EA0E-44C9-931B-951BEA75D89E}" presName="node" presStyleLbl="node1" presStyleIdx="0" presStyleCnt="6" custScaleX="122413" custScaleY="105175">
        <dgm:presLayoutVars>
          <dgm:bulletEnabled val="1"/>
        </dgm:presLayoutVars>
      </dgm:prSet>
      <dgm:spPr/>
      <dgm:t>
        <a:bodyPr/>
        <a:lstStyle/>
        <a:p>
          <a:endParaRPr lang="fr-FR"/>
        </a:p>
      </dgm:t>
    </dgm:pt>
    <dgm:pt modelId="{FDFFCB54-8FC3-424B-ADA2-A0002F3F59BB}" type="pres">
      <dgm:prSet presAssocID="{1C49FBF0-BCB7-4CBD-AB52-1708D6EA4782}" presName="sibTrans" presStyleLbl="sibTrans2D1" presStyleIdx="0" presStyleCnt="5"/>
      <dgm:spPr/>
      <dgm:t>
        <a:bodyPr/>
        <a:lstStyle/>
        <a:p>
          <a:endParaRPr lang="fr-FR"/>
        </a:p>
      </dgm:t>
    </dgm:pt>
    <dgm:pt modelId="{1B7577DE-525A-4B5D-9ECF-DC561CB405C4}" type="pres">
      <dgm:prSet presAssocID="{1C49FBF0-BCB7-4CBD-AB52-1708D6EA4782}" presName="connectorText" presStyleLbl="sibTrans2D1" presStyleIdx="0" presStyleCnt="5"/>
      <dgm:spPr/>
      <dgm:t>
        <a:bodyPr/>
        <a:lstStyle/>
        <a:p>
          <a:endParaRPr lang="fr-FR"/>
        </a:p>
      </dgm:t>
    </dgm:pt>
    <dgm:pt modelId="{64B14204-A4F3-4B96-92AF-223070CCBA28}" type="pres">
      <dgm:prSet presAssocID="{F281AD3F-3113-4764-ADEC-B10F33A7C09A}" presName="node" presStyleLbl="node1" presStyleIdx="1" presStyleCnt="6">
        <dgm:presLayoutVars>
          <dgm:bulletEnabled val="1"/>
        </dgm:presLayoutVars>
      </dgm:prSet>
      <dgm:spPr/>
      <dgm:t>
        <a:bodyPr/>
        <a:lstStyle/>
        <a:p>
          <a:endParaRPr lang="fr-FR"/>
        </a:p>
      </dgm:t>
    </dgm:pt>
    <dgm:pt modelId="{BFC46EAC-5AB8-4964-B490-9733B2001E2D}" type="pres">
      <dgm:prSet presAssocID="{4143253F-1170-4156-AE9D-6F27304A440B}" presName="sibTrans" presStyleLbl="sibTrans2D1" presStyleIdx="1" presStyleCnt="5"/>
      <dgm:spPr/>
      <dgm:t>
        <a:bodyPr/>
        <a:lstStyle/>
        <a:p>
          <a:endParaRPr lang="fr-FR"/>
        </a:p>
      </dgm:t>
    </dgm:pt>
    <dgm:pt modelId="{D01AFDFB-CCBE-4DBC-9E4C-D0DB6A2DB7AE}" type="pres">
      <dgm:prSet presAssocID="{4143253F-1170-4156-AE9D-6F27304A440B}" presName="connectorText" presStyleLbl="sibTrans2D1" presStyleIdx="1" presStyleCnt="5"/>
      <dgm:spPr/>
      <dgm:t>
        <a:bodyPr/>
        <a:lstStyle/>
        <a:p>
          <a:endParaRPr lang="fr-FR"/>
        </a:p>
      </dgm:t>
    </dgm:pt>
    <dgm:pt modelId="{0D74A67F-8721-4588-81B2-98C44E0BCEF5}" type="pres">
      <dgm:prSet presAssocID="{C780A7C5-EED5-43DF-A77D-77AFD58DD7E6}" presName="node" presStyleLbl="node1" presStyleIdx="2" presStyleCnt="6" custScaleX="106131" custScaleY="100027">
        <dgm:presLayoutVars>
          <dgm:bulletEnabled val="1"/>
        </dgm:presLayoutVars>
      </dgm:prSet>
      <dgm:spPr/>
      <dgm:t>
        <a:bodyPr/>
        <a:lstStyle/>
        <a:p>
          <a:endParaRPr lang="fr-FR"/>
        </a:p>
      </dgm:t>
    </dgm:pt>
    <dgm:pt modelId="{FCBA8C98-8753-45D8-8960-E1F8197899EC}" type="pres">
      <dgm:prSet presAssocID="{DB519F1A-0FD8-4C00-ADD0-9E3E8B9A3E5F}" presName="sibTrans" presStyleLbl="sibTrans2D1" presStyleIdx="2" presStyleCnt="5"/>
      <dgm:spPr/>
      <dgm:t>
        <a:bodyPr/>
        <a:lstStyle/>
        <a:p>
          <a:endParaRPr lang="fr-FR"/>
        </a:p>
      </dgm:t>
    </dgm:pt>
    <dgm:pt modelId="{94D9084F-E953-44AD-926C-41E61CC93E0C}" type="pres">
      <dgm:prSet presAssocID="{DB519F1A-0FD8-4C00-ADD0-9E3E8B9A3E5F}" presName="connectorText" presStyleLbl="sibTrans2D1" presStyleIdx="2" presStyleCnt="5"/>
      <dgm:spPr/>
      <dgm:t>
        <a:bodyPr/>
        <a:lstStyle/>
        <a:p>
          <a:endParaRPr lang="fr-FR"/>
        </a:p>
      </dgm:t>
    </dgm:pt>
    <dgm:pt modelId="{DC32DF0B-4793-4512-AA6D-3A8F1D1E8A86}" type="pres">
      <dgm:prSet presAssocID="{90619555-C74A-416D-9647-B8FE6E74A59D}" presName="node" presStyleLbl="node1" presStyleIdx="3" presStyleCnt="6">
        <dgm:presLayoutVars>
          <dgm:bulletEnabled val="1"/>
        </dgm:presLayoutVars>
      </dgm:prSet>
      <dgm:spPr/>
      <dgm:t>
        <a:bodyPr/>
        <a:lstStyle/>
        <a:p>
          <a:endParaRPr lang="fr-FR"/>
        </a:p>
      </dgm:t>
    </dgm:pt>
    <dgm:pt modelId="{8E12990E-F7DF-417E-96B3-FF2FB1B2AA23}" type="pres">
      <dgm:prSet presAssocID="{5E01574D-D020-4964-8D54-EDE9BE48A895}" presName="sibTrans" presStyleLbl="sibTrans2D1" presStyleIdx="3" presStyleCnt="5"/>
      <dgm:spPr/>
      <dgm:t>
        <a:bodyPr/>
        <a:lstStyle/>
        <a:p>
          <a:endParaRPr lang="fr-FR"/>
        </a:p>
      </dgm:t>
    </dgm:pt>
    <dgm:pt modelId="{039458C7-A617-45D6-83B1-34281FE3B4AF}" type="pres">
      <dgm:prSet presAssocID="{5E01574D-D020-4964-8D54-EDE9BE48A895}" presName="connectorText" presStyleLbl="sibTrans2D1" presStyleIdx="3" presStyleCnt="5"/>
      <dgm:spPr/>
      <dgm:t>
        <a:bodyPr/>
        <a:lstStyle/>
        <a:p>
          <a:endParaRPr lang="fr-FR"/>
        </a:p>
      </dgm:t>
    </dgm:pt>
    <dgm:pt modelId="{AFCBB05B-3E60-472E-9B17-D64483F28C4E}" type="pres">
      <dgm:prSet presAssocID="{673F84E2-7829-4279-A521-E233A41EDDD1}" presName="node" presStyleLbl="node1" presStyleIdx="4" presStyleCnt="6">
        <dgm:presLayoutVars>
          <dgm:bulletEnabled val="1"/>
        </dgm:presLayoutVars>
      </dgm:prSet>
      <dgm:spPr/>
      <dgm:t>
        <a:bodyPr/>
        <a:lstStyle/>
        <a:p>
          <a:endParaRPr lang="fr-FR"/>
        </a:p>
      </dgm:t>
    </dgm:pt>
    <dgm:pt modelId="{B3FF43B6-C6E1-4F76-89B6-01DB6E03CB62}" type="pres">
      <dgm:prSet presAssocID="{C9A95565-C014-43EE-8E96-EE1384715B57}" presName="sibTrans" presStyleLbl="sibTrans2D1" presStyleIdx="4" presStyleCnt="5"/>
      <dgm:spPr/>
      <dgm:t>
        <a:bodyPr/>
        <a:lstStyle/>
        <a:p>
          <a:endParaRPr lang="fr-FR"/>
        </a:p>
      </dgm:t>
    </dgm:pt>
    <dgm:pt modelId="{CBA7F18E-D548-432F-A4A2-D3374B5D2473}" type="pres">
      <dgm:prSet presAssocID="{C9A95565-C014-43EE-8E96-EE1384715B57}" presName="connectorText" presStyleLbl="sibTrans2D1" presStyleIdx="4" presStyleCnt="5"/>
      <dgm:spPr/>
      <dgm:t>
        <a:bodyPr/>
        <a:lstStyle/>
        <a:p>
          <a:endParaRPr lang="fr-FR"/>
        </a:p>
      </dgm:t>
    </dgm:pt>
    <dgm:pt modelId="{B459E1BA-4316-4F8A-B2E5-41D6F8F85519}" type="pres">
      <dgm:prSet presAssocID="{27131CDE-728D-4825-B033-941D27DE390E}" presName="node" presStyleLbl="node1" presStyleIdx="5" presStyleCnt="6" custScaleX="128681" custScaleY="87626">
        <dgm:presLayoutVars>
          <dgm:bulletEnabled val="1"/>
        </dgm:presLayoutVars>
      </dgm:prSet>
      <dgm:spPr/>
      <dgm:t>
        <a:bodyPr/>
        <a:lstStyle/>
        <a:p>
          <a:endParaRPr lang="fr-FR"/>
        </a:p>
      </dgm:t>
    </dgm:pt>
  </dgm:ptLst>
  <dgm:cxnLst>
    <dgm:cxn modelId="{D02E5465-1ADA-4B1A-AC28-EA89BA6EDD8E}" type="presOf" srcId="{C780A7C5-EED5-43DF-A77D-77AFD58DD7E6}" destId="{0D74A67F-8721-4588-81B2-98C44E0BCEF5}" srcOrd="0" destOrd="0" presId="urn:microsoft.com/office/officeart/2005/8/layout/process5"/>
    <dgm:cxn modelId="{136005A8-210F-4B22-AFD5-307C83C4F160}" srcId="{4948A5AA-3CB1-40F4-A423-FA7BB72C8466}" destId="{90619555-C74A-416D-9647-B8FE6E74A59D}" srcOrd="3" destOrd="0" parTransId="{5D92FA49-6C13-4242-AADF-0031AF0F68CA}" sibTransId="{5E01574D-D020-4964-8D54-EDE9BE48A895}"/>
    <dgm:cxn modelId="{59EB6367-F339-4EB6-AF18-987FB567DE1F}" srcId="{4948A5AA-3CB1-40F4-A423-FA7BB72C8466}" destId="{673F84E2-7829-4279-A521-E233A41EDDD1}" srcOrd="4" destOrd="0" parTransId="{3F00ADF4-C53E-440F-977D-4ED4E8676931}" sibTransId="{C9A95565-C014-43EE-8E96-EE1384715B57}"/>
    <dgm:cxn modelId="{A8EE7D2F-E63E-4D66-A968-823B077AC833}" type="presOf" srcId="{673F84E2-7829-4279-A521-E233A41EDDD1}" destId="{AFCBB05B-3E60-472E-9B17-D64483F28C4E}" srcOrd="0" destOrd="0" presId="urn:microsoft.com/office/officeart/2005/8/layout/process5"/>
    <dgm:cxn modelId="{D0BD9662-3099-42CA-9583-51452B32A74E}" type="presOf" srcId="{1C49FBF0-BCB7-4CBD-AB52-1708D6EA4782}" destId="{1B7577DE-525A-4B5D-9ECF-DC561CB405C4}" srcOrd="1" destOrd="0" presId="urn:microsoft.com/office/officeart/2005/8/layout/process5"/>
    <dgm:cxn modelId="{82CCCE2B-4A37-49CE-BA24-429B07FFD188}" type="presOf" srcId="{1C49FBF0-BCB7-4CBD-AB52-1708D6EA4782}" destId="{FDFFCB54-8FC3-424B-ADA2-A0002F3F59BB}" srcOrd="0" destOrd="0" presId="urn:microsoft.com/office/officeart/2005/8/layout/process5"/>
    <dgm:cxn modelId="{A9C6502D-21D7-43E5-BF85-51E4D5C45120}" type="presOf" srcId="{4143253F-1170-4156-AE9D-6F27304A440B}" destId="{D01AFDFB-CCBE-4DBC-9E4C-D0DB6A2DB7AE}" srcOrd="1" destOrd="0" presId="urn:microsoft.com/office/officeart/2005/8/layout/process5"/>
    <dgm:cxn modelId="{139BBB05-9227-4BE2-8B8B-7887B3A8CE60}" type="presOf" srcId="{DB519F1A-0FD8-4C00-ADD0-9E3E8B9A3E5F}" destId="{FCBA8C98-8753-45D8-8960-E1F8197899EC}" srcOrd="0" destOrd="0" presId="urn:microsoft.com/office/officeart/2005/8/layout/process5"/>
    <dgm:cxn modelId="{4E781823-7FF5-4414-8C73-B120732C22FE}" type="presOf" srcId="{B8191730-EA0E-44C9-931B-951BEA75D89E}" destId="{C1D821DB-B136-465E-8458-9E68B23564A3}" srcOrd="0" destOrd="0" presId="urn:microsoft.com/office/officeart/2005/8/layout/process5"/>
    <dgm:cxn modelId="{855AE566-E6DC-4343-A1DF-D12D9889EFA7}" type="presOf" srcId="{27131CDE-728D-4825-B033-941D27DE390E}" destId="{B459E1BA-4316-4F8A-B2E5-41D6F8F85519}" srcOrd="0" destOrd="0" presId="urn:microsoft.com/office/officeart/2005/8/layout/process5"/>
    <dgm:cxn modelId="{9E55D4A2-961D-48C9-A0F3-B80D64142FD2}" type="presOf" srcId="{C9A95565-C014-43EE-8E96-EE1384715B57}" destId="{CBA7F18E-D548-432F-A4A2-D3374B5D2473}" srcOrd="1" destOrd="0" presId="urn:microsoft.com/office/officeart/2005/8/layout/process5"/>
    <dgm:cxn modelId="{0CD4DAB0-21E0-4CD3-A1A3-EB107A7FE77C}" srcId="{4948A5AA-3CB1-40F4-A423-FA7BB72C8466}" destId="{27131CDE-728D-4825-B033-941D27DE390E}" srcOrd="5" destOrd="0" parTransId="{206D6742-B73B-494A-B8F0-FD47570424CA}" sibTransId="{E1770A27-9B67-4384-BC09-3C1269DA15CA}"/>
    <dgm:cxn modelId="{4FA8908D-C907-4D62-845E-369F632C68D5}" type="presOf" srcId="{C9A95565-C014-43EE-8E96-EE1384715B57}" destId="{B3FF43B6-C6E1-4F76-89B6-01DB6E03CB62}" srcOrd="0" destOrd="0" presId="urn:microsoft.com/office/officeart/2005/8/layout/process5"/>
    <dgm:cxn modelId="{199BBF71-90EA-4E35-AD98-78E6EAFDA6A2}" type="presOf" srcId="{F281AD3F-3113-4764-ADEC-B10F33A7C09A}" destId="{64B14204-A4F3-4B96-92AF-223070CCBA28}" srcOrd="0" destOrd="0" presId="urn:microsoft.com/office/officeart/2005/8/layout/process5"/>
    <dgm:cxn modelId="{49E05E4A-9046-4E60-A850-34D31ADD49DE}" type="presOf" srcId="{90619555-C74A-416D-9647-B8FE6E74A59D}" destId="{DC32DF0B-4793-4512-AA6D-3A8F1D1E8A86}" srcOrd="0" destOrd="0" presId="urn:microsoft.com/office/officeart/2005/8/layout/process5"/>
    <dgm:cxn modelId="{4393E9B8-3B82-45D1-844D-60ED9B4A11F7}" srcId="{4948A5AA-3CB1-40F4-A423-FA7BB72C8466}" destId="{C780A7C5-EED5-43DF-A77D-77AFD58DD7E6}" srcOrd="2" destOrd="0" parTransId="{230B014D-A680-43DD-A71E-54B33492D7A7}" sibTransId="{DB519F1A-0FD8-4C00-ADD0-9E3E8B9A3E5F}"/>
    <dgm:cxn modelId="{EC71188B-A081-465B-A181-494BB1A5D219}" type="presOf" srcId="{5E01574D-D020-4964-8D54-EDE9BE48A895}" destId="{8E12990E-F7DF-417E-96B3-FF2FB1B2AA23}" srcOrd="0" destOrd="0" presId="urn:microsoft.com/office/officeart/2005/8/layout/process5"/>
    <dgm:cxn modelId="{5BF078D4-811D-4D10-9838-98307D3AC68C}" srcId="{4948A5AA-3CB1-40F4-A423-FA7BB72C8466}" destId="{F281AD3F-3113-4764-ADEC-B10F33A7C09A}" srcOrd="1" destOrd="0" parTransId="{37DB9009-2929-4538-956A-A6BD563A508E}" sibTransId="{4143253F-1170-4156-AE9D-6F27304A440B}"/>
    <dgm:cxn modelId="{811DE620-901F-4871-9454-A5D4DC3CF1CC}" type="presOf" srcId="{DB519F1A-0FD8-4C00-ADD0-9E3E8B9A3E5F}" destId="{94D9084F-E953-44AD-926C-41E61CC93E0C}" srcOrd="1" destOrd="0" presId="urn:microsoft.com/office/officeart/2005/8/layout/process5"/>
    <dgm:cxn modelId="{98BD212B-68B3-4DBF-8195-AC39E153C5F1}" srcId="{4948A5AA-3CB1-40F4-A423-FA7BB72C8466}" destId="{B8191730-EA0E-44C9-931B-951BEA75D89E}" srcOrd="0" destOrd="0" parTransId="{0E452148-7A71-4E1A-8F37-E8E49D422D4F}" sibTransId="{1C49FBF0-BCB7-4CBD-AB52-1708D6EA4782}"/>
    <dgm:cxn modelId="{1EE52146-B397-4C57-BF59-900457BA3C66}" type="presOf" srcId="{4143253F-1170-4156-AE9D-6F27304A440B}" destId="{BFC46EAC-5AB8-4964-B490-9733B2001E2D}" srcOrd="0" destOrd="0" presId="urn:microsoft.com/office/officeart/2005/8/layout/process5"/>
    <dgm:cxn modelId="{B34F7AC2-4DF7-429D-AFBD-05E72F98DE4B}" type="presOf" srcId="{5E01574D-D020-4964-8D54-EDE9BE48A895}" destId="{039458C7-A617-45D6-83B1-34281FE3B4AF}" srcOrd="1" destOrd="0" presId="urn:microsoft.com/office/officeart/2005/8/layout/process5"/>
    <dgm:cxn modelId="{BEF736A4-ACCA-4F90-9823-1EB94EF6E62C}" type="presOf" srcId="{4948A5AA-3CB1-40F4-A423-FA7BB72C8466}" destId="{649AEAF0-C7A1-42A4-8019-BAD33D1394A5}" srcOrd="0" destOrd="0" presId="urn:microsoft.com/office/officeart/2005/8/layout/process5"/>
    <dgm:cxn modelId="{748AC1E5-7229-49C8-9B0E-EBA5037E2A53}" type="presParOf" srcId="{649AEAF0-C7A1-42A4-8019-BAD33D1394A5}" destId="{C1D821DB-B136-465E-8458-9E68B23564A3}" srcOrd="0" destOrd="0" presId="urn:microsoft.com/office/officeart/2005/8/layout/process5"/>
    <dgm:cxn modelId="{AB4C47C4-08F9-494C-8C34-DD7EC6BCE972}" type="presParOf" srcId="{649AEAF0-C7A1-42A4-8019-BAD33D1394A5}" destId="{FDFFCB54-8FC3-424B-ADA2-A0002F3F59BB}" srcOrd="1" destOrd="0" presId="urn:microsoft.com/office/officeart/2005/8/layout/process5"/>
    <dgm:cxn modelId="{B534A530-773C-4588-A3F1-A117B0F318CB}" type="presParOf" srcId="{FDFFCB54-8FC3-424B-ADA2-A0002F3F59BB}" destId="{1B7577DE-525A-4B5D-9ECF-DC561CB405C4}" srcOrd="0" destOrd="0" presId="urn:microsoft.com/office/officeart/2005/8/layout/process5"/>
    <dgm:cxn modelId="{806DC521-F439-47DB-98F5-2BC576D9736D}" type="presParOf" srcId="{649AEAF0-C7A1-42A4-8019-BAD33D1394A5}" destId="{64B14204-A4F3-4B96-92AF-223070CCBA28}" srcOrd="2" destOrd="0" presId="urn:microsoft.com/office/officeart/2005/8/layout/process5"/>
    <dgm:cxn modelId="{8C756739-456D-46F9-84E0-C1A2BEFBC726}" type="presParOf" srcId="{649AEAF0-C7A1-42A4-8019-BAD33D1394A5}" destId="{BFC46EAC-5AB8-4964-B490-9733B2001E2D}" srcOrd="3" destOrd="0" presId="urn:microsoft.com/office/officeart/2005/8/layout/process5"/>
    <dgm:cxn modelId="{9549D0FE-3236-4B3D-9915-A0D2D2EC9987}" type="presParOf" srcId="{BFC46EAC-5AB8-4964-B490-9733B2001E2D}" destId="{D01AFDFB-CCBE-4DBC-9E4C-D0DB6A2DB7AE}" srcOrd="0" destOrd="0" presId="urn:microsoft.com/office/officeart/2005/8/layout/process5"/>
    <dgm:cxn modelId="{DD8DEA7F-6339-4E85-9807-C7E8EF1AD5C4}" type="presParOf" srcId="{649AEAF0-C7A1-42A4-8019-BAD33D1394A5}" destId="{0D74A67F-8721-4588-81B2-98C44E0BCEF5}" srcOrd="4" destOrd="0" presId="urn:microsoft.com/office/officeart/2005/8/layout/process5"/>
    <dgm:cxn modelId="{61465D55-0843-4B0C-8449-6B8244782FC6}" type="presParOf" srcId="{649AEAF0-C7A1-42A4-8019-BAD33D1394A5}" destId="{FCBA8C98-8753-45D8-8960-E1F8197899EC}" srcOrd="5" destOrd="0" presId="urn:microsoft.com/office/officeart/2005/8/layout/process5"/>
    <dgm:cxn modelId="{724D22CF-023A-4096-9531-35FD2BDF7C2D}" type="presParOf" srcId="{FCBA8C98-8753-45D8-8960-E1F8197899EC}" destId="{94D9084F-E953-44AD-926C-41E61CC93E0C}" srcOrd="0" destOrd="0" presId="urn:microsoft.com/office/officeart/2005/8/layout/process5"/>
    <dgm:cxn modelId="{937AB50E-D6D3-4451-97AA-51DE6EDFCA8E}" type="presParOf" srcId="{649AEAF0-C7A1-42A4-8019-BAD33D1394A5}" destId="{DC32DF0B-4793-4512-AA6D-3A8F1D1E8A86}" srcOrd="6" destOrd="0" presId="urn:microsoft.com/office/officeart/2005/8/layout/process5"/>
    <dgm:cxn modelId="{83E7E010-DB25-4D82-93C1-09DCA47AE530}" type="presParOf" srcId="{649AEAF0-C7A1-42A4-8019-BAD33D1394A5}" destId="{8E12990E-F7DF-417E-96B3-FF2FB1B2AA23}" srcOrd="7" destOrd="0" presId="urn:microsoft.com/office/officeart/2005/8/layout/process5"/>
    <dgm:cxn modelId="{4CA7D844-3CA6-4A93-9C2E-A86D2233C0A1}" type="presParOf" srcId="{8E12990E-F7DF-417E-96B3-FF2FB1B2AA23}" destId="{039458C7-A617-45D6-83B1-34281FE3B4AF}" srcOrd="0" destOrd="0" presId="urn:microsoft.com/office/officeart/2005/8/layout/process5"/>
    <dgm:cxn modelId="{7BAA29AF-4A72-4756-8393-4F0D2A063517}" type="presParOf" srcId="{649AEAF0-C7A1-42A4-8019-BAD33D1394A5}" destId="{AFCBB05B-3E60-472E-9B17-D64483F28C4E}" srcOrd="8" destOrd="0" presId="urn:microsoft.com/office/officeart/2005/8/layout/process5"/>
    <dgm:cxn modelId="{5371BE4E-9432-4DF6-A503-5D7DF0887E84}" type="presParOf" srcId="{649AEAF0-C7A1-42A4-8019-BAD33D1394A5}" destId="{B3FF43B6-C6E1-4F76-89B6-01DB6E03CB62}" srcOrd="9" destOrd="0" presId="urn:microsoft.com/office/officeart/2005/8/layout/process5"/>
    <dgm:cxn modelId="{A207560C-6467-41E1-B352-B06873AEFE08}" type="presParOf" srcId="{B3FF43B6-C6E1-4F76-89B6-01DB6E03CB62}" destId="{CBA7F18E-D548-432F-A4A2-D3374B5D2473}" srcOrd="0" destOrd="0" presId="urn:microsoft.com/office/officeart/2005/8/layout/process5"/>
    <dgm:cxn modelId="{3EC796E8-A777-4CFB-B7C3-54DA0F04B198}" type="presParOf" srcId="{649AEAF0-C7A1-42A4-8019-BAD33D1394A5}" destId="{B459E1BA-4316-4F8A-B2E5-41D6F8F85519}" srcOrd="10" destOrd="0" presId="urn:microsoft.com/office/officeart/2005/8/layout/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48A5AA-3CB1-40F4-A423-FA7BB72C8466}" type="doc">
      <dgm:prSet loTypeId="urn:microsoft.com/office/officeart/2005/8/layout/process5" loCatId="process" qsTypeId="urn:microsoft.com/office/officeart/2005/8/quickstyle/simple1" qsCatId="simple" csTypeId="urn:microsoft.com/office/officeart/2005/8/colors/colorful3" csCatId="colorful" phldr="1"/>
      <dgm:spPr/>
      <dgm:t>
        <a:bodyPr/>
        <a:lstStyle/>
        <a:p>
          <a:endParaRPr lang="fr-FR"/>
        </a:p>
      </dgm:t>
    </dgm:pt>
    <dgm:pt modelId="{B8191730-EA0E-44C9-931B-951BEA75D89E}">
      <dgm:prSet phldrT="[Texte]" custT="1"/>
      <dgm:spPr/>
      <dgm:t>
        <a:bodyPr/>
        <a:lstStyle/>
        <a:p>
          <a:pPr algn="ctr"/>
          <a:r>
            <a:rPr lang="fr-FR" sz="1200" b="1"/>
            <a:t>1. Recontre des besoins </a:t>
          </a:r>
          <a:br>
            <a:rPr lang="fr-FR" sz="1200" b="1"/>
          </a:br>
          <a:r>
            <a:rPr lang="fr-FR" sz="1000" b="0"/>
            <a:t> Emprunteur : Besoin d'une valeur particulière</a:t>
          </a:r>
          <a:br>
            <a:rPr lang="fr-FR" sz="1000" b="0"/>
          </a:br>
          <a:r>
            <a:rPr lang="fr-FR" sz="1000" b="0"/>
            <a:t>Prêteur : Veut placer ses actifs en prêt</a:t>
          </a:r>
        </a:p>
      </dgm:t>
    </dgm:pt>
    <dgm:pt modelId="{0E452148-7A71-4E1A-8F37-E8E49D422D4F}" type="parTrans" cxnId="{98BD212B-68B3-4DBF-8195-AC39E153C5F1}">
      <dgm:prSet/>
      <dgm:spPr/>
      <dgm:t>
        <a:bodyPr/>
        <a:lstStyle/>
        <a:p>
          <a:pPr algn="ctr"/>
          <a:endParaRPr lang="fr-FR"/>
        </a:p>
      </dgm:t>
    </dgm:pt>
    <dgm:pt modelId="{1C49FBF0-BCB7-4CBD-AB52-1708D6EA4782}" type="sibTrans" cxnId="{98BD212B-68B3-4DBF-8195-AC39E153C5F1}">
      <dgm:prSet/>
      <dgm:spPr/>
      <dgm:t>
        <a:bodyPr/>
        <a:lstStyle/>
        <a:p>
          <a:pPr algn="ctr"/>
          <a:endParaRPr lang="fr-FR"/>
        </a:p>
      </dgm:t>
    </dgm:pt>
    <dgm:pt modelId="{F281AD3F-3113-4764-ADEC-B10F33A7C09A}">
      <dgm:prSet phldrT="[Texte]" custT="1"/>
      <dgm:spPr/>
      <dgm:t>
        <a:bodyPr/>
        <a:lstStyle/>
        <a:p>
          <a:pPr algn="ctr"/>
          <a:r>
            <a:rPr lang="fr-FR" sz="1200" b="1"/>
            <a:t>2. Négociation des conditions </a:t>
          </a:r>
          <a:r>
            <a:rPr lang="fr-FR" sz="1000"/>
            <a:t/>
          </a:r>
          <a:br>
            <a:rPr lang="fr-FR" sz="1000"/>
          </a:br>
          <a:r>
            <a:rPr lang="fr-FR" sz="1000" b="0"/>
            <a:t>Quantité de titres, nature collatéral, durée, taux</a:t>
          </a:r>
        </a:p>
      </dgm:t>
    </dgm:pt>
    <dgm:pt modelId="{37DB9009-2929-4538-956A-A6BD563A508E}" type="parTrans" cxnId="{5BF078D4-811D-4D10-9838-98307D3AC68C}">
      <dgm:prSet/>
      <dgm:spPr/>
      <dgm:t>
        <a:bodyPr/>
        <a:lstStyle/>
        <a:p>
          <a:pPr algn="ctr"/>
          <a:endParaRPr lang="fr-FR"/>
        </a:p>
      </dgm:t>
    </dgm:pt>
    <dgm:pt modelId="{4143253F-1170-4156-AE9D-6F27304A440B}" type="sibTrans" cxnId="{5BF078D4-811D-4D10-9838-98307D3AC68C}">
      <dgm:prSet/>
      <dgm:spPr/>
      <dgm:t>
        <a:bodyPr/>
        <a:lstStyle/>
        <a:p>
          <a:pPr algn="ctr"/>
          <a:endParaRPr lang="fr-FR"/>
        </a:p>
      </dgm:t>
    </dgm:pt>
    <dgm:pt modelId="{C780A7C5-EED5-43DF-A77D-77AFD58DD7E6}">
      <dgm:prSet phldrT="[Texte]" custT="1"/>
      <dgm:spPr/>
      <dgm:t>
        <a:bodyPr/>
        <a:lstStyle/>
        <a:p>
          <a:pPr algn="ctr"/>
          <a:r>
            <a:rPr lang="fr-FR" sz="1200" b="1"/>
            <a:t>3. Confirmation de transaction d'achat </a:t>
          </a:r>
          <a:r>
            <a:rPr lang="fr-FR" sz="1000"/>
            <a:t/>
          </a:r>
          <a:br>
            <a:rPr lang="fr-FR" sz="1000"/>
          </a:br>
          <a:r>
            <a:rPr lang="fr-FR" sz="1000" b="0"/>
            <a:t>Echange des infos sur le trade et les conditions de settlement (trade date, value date, PSET, taux, haircut, etc)</a:t>
          </a:r>
        </a:p>
      </dgm:t>
    </dgm:pt>
    <dgm:pt modelId="{230B014D-A680-43DD-A71E-54B33492D7A7}" type="parTrans" cxnId="{4393E9B8-3B82-45D1-844D-60ED9B4A11F7}">
      <dgm:prSet/>
      <dgm:spPr/>
      <dgm:t>
        <a:bodyPr/>
        <a:lstStyle/>
        <a:p>
          <a:pPr algn="ctr"/>
          <a:endParaRPr lang="fr-FR"/>
        </a:p>
      </dgm:t>
    </dgm:pt>
    <dgm:pt modelId="{DB519F1A-0FD8-4C00-ADD0-9E3E8B9A3E5F}" type="sibTrans" cxnId="{4393E9B8-3B82-45D1-844D-60ED9B4A11F7}">
      <dgm:prSet/>
      <dgm:spPr/>
      <dgm:t>
        <a:bodyPr/>
        <a:lstStyle/>
        <a:p>
          <a:pPr algn="ctr"/>
          <a:endParaRPr lang="fr-FR"/>
        </a:p>
      </dgm:t>
    </dgm:pt>
    <dgm:pt modelId="{90619555-C74A-416D-9647-B8FE6E74A59D}">
      <dgm:prSet phldrT="[Texte]" custT="1"/>
      <dgm:spPr/>
      <dgm:t>
        <a:bodyPr/>
        <a:lstStyle/>
        <a:p>
          <a:pPr algn="ctr"/>
          <a:r>
            <a:rPr lang="fr-FR" sz="1200" b="1"/>
            <a:t>4. Livraison du collatéral</a:t>
          </a:r>
          <a:br>
            <a:rPr lang="fr-FR" sz="1200" b="1"/>
          </a:br>
          <a:r>
            <a:rPr lang="fr-FR" sz="1000" b="0"/>
            <a:t>Emprunteur livre le collatéral (ex: 105% valeur du prêt). Si pré-collat : livré avant les titres</a:t>
          </a:r>
          <a:endParaRPr lang="fr-FR" sz="1200"/>
        </a:p>
      </dgm:t>
    </dgm:pt>
    <dgm:pt modelId="{5D92FA49-6C13-4242-AADF-0031AF0F68CA}" type="parTrans" cxnId="{136005A8-210F-4B22-AFD5-307C83C4F160}">
      <dgm:prSet/>
      <dgm:spPr/>
      <dgm:t>
        <a:bodyPr/>
        <a:lstStyle/>
        <a:p>
          <a:pPr algn="ctr"/>
          <a:endParaRPr lang="fr-FR"/>
        </a:p>
      </dgm:t>
    </dgm:pt>
    <dgm:pt modelId="{5E01574D-D020-4964-8D54-EDE9BE48A895}" type="sibTrans" cxnId="{136005A8-210F-4B22-AFD5-307C83C4F160}">
      <dgm:prSet/>
      <dgm:spPr/>
      <dgm:t>
        <a:bodyPr/>
        <a:lstStyle/>
        <a:p>
          <a:pPr algn="ctr"/>
          <a:endParaRPr lang="fr-FR"/>
        </a:p>
      </dgm:t>
    </dgm:pt>
    <dgm:pt modelId="{673F84E2-7829-4279-A521-E233A41EDDD1}">
      <dgm:prSet phldrT="[Texte]" custT="1"/>
      <dgm:spPr/>
      <dgm:t>
        <a:bodyPr/>
        <a:lstStyle/>
        <a:p>
          <a:pPr algn="ctr"/>
          <a:r>
            <a:rPr lang="fr-FR" sz="1200" b="1"/>
            <a:t>4 Bis. Livraison des titres</a:t>
          </a:r>
          <a:r>
            <a:rPr lang="fr-FR" sz="1000"/>
            <a:t/>
          </a:r>
          <a:br>
            <a:rPr lang="fr-FR" sz="1000"/>
          </a:br>
          <a:r>
            <a:rPr lang="fr-FR" sz="1000" b="0"/>
            <a:t>Livraison prêteur -&gt; Emprunteur via banques dépositaires</a:t>
          </a:r>
        </a:p>
      </dgm:t>
    </dgm:pt>
    <dgm:pt modelId="{3F00ADF4-C53E-440F-977D-4ED4E8676931}" type="parTrans" cxnId="{59EB6367-F339-4EB6-AF18-987FB567DE1F}">
      <dgm:prSet/>
      <dgm:spPr/>
      <dgm:t>
        <a:bodyPr/>
        <a:lstStyle/>
        <a:p>
          <a:pPr algn="ctr"/>
          <a:endParaRPr lang="fr-FR"/>
        </a:p>
      </dgm:t>
    </dgm:pt>
    <dgm:pt modelId="{C9A95565-C014-43EE-8E96-EE1384715B57}" type="sibTrans" cxnId="{59EB6367-F339-4EB6-AF18-987FB567DE1F}">
      <dgm:prSet/>
      <dgm:spPr/>
      <dgm:t>
        <a:bodyPr/>
        <a:lstStyle/>
        <a:p>
          <a:pPr algn="ctr"/>
          <a:endParaRPr lang="fr-FR"/>
        </a:p>
      </dgm:t>
    </dgm:pt>
    <dgm:pt modelId="{27131CDE-728D-4825-B033-941D27DE390E}">
      <dgm:prSet phldrT="[Texte]" custT="1"/>
      <dgm:spPr/>
      <dgm:t>
        <a:bodyPr/>
        <a:lstStyle/>
        <a:p>
          <a:pPr algn="ctr"/>
          <a:r>
            <a:rPr lang="fr-FR" sz="1200" b="1"/>
            <a:t>5. MtoM journalier</a:t>
          </a:r>
          <a:r>
            <a:rPr lang="fr-FR" sz="1000"/>
            <a:t/>
          </a:r>
          <a:br>
            <a:rPr lang="fr-FR" sz="1000"/>
          </a:br>
          <a:r>
            <a:rPr lang="fr-FR" sz="1000"/>
            <a:t>Evaluation journalière MtoM du prêteur et appels de marge si besoin </a:t>
          </a:r>
          <a:endParaRPr lang="fr-FR" sz="1000" b="0"/>
        </a:p>
      </dgm:t>
    </dgm:pt>
    <dgm:pt modelId="{206D6742-B73B-494A-B8F0-FD47570424CA}" type="parTrans" cxnId="{0CD4DAB0-21E0-4CD3-A1A3-EB107A7FE77C}">
      <dgm:prSet/>
      <dgm:spPr/>
      <dgm:t>
        <a:bodyPr/>
        <a:lstStyle/>
        <a:p>
          <a:pPr algn="ctr"/>
          <a:endParaRPr lang="fr-FR"/>
        </a:p>
      </dgm:t>
    </dgm:pt>
    <dgm:pt modelId="{E1770A27-9B67-4384-BC09-3C1269DA15CA}" type="sibTrans" cxnId="{0CD4DAB0-21E0-4CD3-A1A3-EB107A7FE77C}">
      <dgm:prSet/>
      <dgm:spPr/>
      <dgm:t>
        <a:bodyPr/>
        <a:lstStyle/>
        <a:p>
          <a:pPr algn="ctr"/>
          <a:endParaRPr lang="fr-FR"/>
        </a:p>
      </dgm:t>
    </dgm:pt>
    <dgm:pt modelId="{F9F042D4-0C3C-467B-8ABA-47F41BD85603}">
      <dgm:prSet custT="1"/>
      <dgm:spPr/>
      <dgm:t>
        <a:bodyPr/>
        <a:lstStyle/>
        <a:p>
          <a:r>
            <a:rPr lang="fr-FR" sz="1200" b="1"/>
            <a:t>6. Evènements possibles</a:t>
          </a:r>
          <a:r>
            <a:rPr lang="fr-FR" sz="1100" b="1"/>
            <a:t/>
          </a:r>
          <a:br>
            <a:rPr lang="fr-FR" sz="1100" b="1"/>
          </a:br>
          <a:r>
            <a:rPr lang="fr-FR" sz="1000" b="0"/>
            <a:t>Substitution du collatéral, réévaluation du taux, re-pricing, OST, prolongation terme</a:t>
          </a:r>
        </a:p>
      </dgm:t>
    </dgm:pt>
    <dgm:pt modelId="{A6EB8905-5978-4953-B3DB-449D9965FF9F}" type="parTrans" cxnId="{D2D5BE2F-B024-4E31-8DA3-151E1E0855A5}">
      <dgm:prSet/>
      <dgm:spPr/>
      <dgm:t>
        <a:bodyPr/>
        <a:lstStyle/>
        <a:p>
          <a:endParaRPr lang="fr-FR"/>
        </a:p>
      </dgm:t>
    </dgm:pt>
    <dgm:pt modelId="{5492DF2D-E8D4-4225-8DCC-EC2D18B22E16}" type="sibTrans" cxnId="{D2D5BE2F-B024-4E31-8DA3-151E1E0855A5}">
      <dgm:prSet/>
      <dgm:spPr/>
      <dgm:t>
        <a:bodyPr/>
        <a:lstStyle/>
        <a:p>
          <a:endParaRPr lang="fr-FR"/>
        </a:p>
      </dgm:t>
    </dgm:pt>
    <dgm:pt modelId="{3A4EA589-AB60-4B16-9692-A10391147A8E}">
      <dgm:prSet custT="1"/>
      <dgm:spPr/>
      <dgm:t>
        <a:bodyPr/>
        <a:lstStyle/>
        <a:p>
          <a:r>
            <a:rPr lang="fr-FR" sz="1200" b="1"/>
            <a:t>7. Retour des titres </a:t>
          </a:r>
          <a:r>
            <a:rPr lang="fr-FR" sz="1600"/>
            <a:t/>
          </a:r>
          <a:br>
            <a:rPr lang="fr-FR" sz="1600"/>
          </a:br>
          <a:r>
            <a:rPr lang="fr-FR" sz="1100" b="0"/>
            <a:t>Terme ou recall</a:t>
          </a:r>
        </a:p>
      </dgm:t>
    </dgm:pt>
    <dgm:pt modelId="{F80DA340-3FF0-48EB-8CE1-928CAFAA90A2}" type="parTrans" cxnId="{9E144387-4806-4814-83DC-DDE3F30C2222}">
      <dgm:prSet/>
      <dgm:spPr/>
      <dgm:t>
        <a:bodyPr/>
        <a:lstStyle/>
        <a:p>
          <a:endParaRPr lang="fr-FR"/>
        </a:p>
      </dgm:t>
    </dgm:pt>
    <dgm:pt modelId="{D98ADB8A-EC72-4429-877B-F716BC782B6B}" type="sibTrans" cxnId="{9E144387-4806-4814-83DC-DDE3F30C2222}">
      <dgm:prSet/>
      <dgm:spPr/>
      <dgm:t>
        <a:bodyPr/>
        <a:lstStyle/>
        <a:p>
          <a:endParaRPr lang="fr-FR"/>
        </a:p>
      </dgm:t>
    </dgm:pt>
    <dgm:pt modelId="{C6748A4D-773B-471B-8765-77B26CE4312D}">
      <dgm:prSet custT="1"/>
      <dgm:spPr/>
      <dgm:t>
        <a:bodyPr/>
        <a:lstStyle/>
        <a:p>
          <a:r>
            <a:rPr lang="fr-FR" sz="1200" b="1"/>
            <a:t>7 Bis. Retour du collatéral </a:t>
          </a:r>
          <a:r>
            <a:rPr lang="fr-FR" sz="900"/>
            <a:t/>
          </a:r>
          <a:br>
            <a:rPr lang="fr-FR" sz="900"/>
          </a:br>
          <a:r>
            <a:rPr lang="fr-FR" sz="1000" b="0"/>
            <a:t>Terme</a:t>
          </a:r>
        </a:p>
      </dgm:t>
    </dgm:pt>
    <dgm:pt modelId="{85023592-88A6-4318-B092-C700168C5C7F}" type="parTrans" cxnId="{1B0B3937-2DB2-429B-9E3B-90E48040B0C1}">
      <dgm:prSet/>
      <dgm:spPr/>
      <dgm:t>
        <a:bodyPr/>
        <a:lstStyle/>
        <a:p>
          <a:endParaRPr lang="fr-FR"/>
        </a:p>
      </dgm:t>
    </dgm:pt>
    <dgm:pt modelId="{891E366D-86B5-4420-AA6C-1C8AD76E62DF}" type="sibTrans" cxnId="{1B0B3937-2DB2-429B-9E3B-90E48040B0C1}">
      <dgm:prSet/>
      <dgm:spPr/>
      <dgm:t>
        <a:bodyPr/>
        <a:lstStyle/>
        <a:p>
          <a:endParaRPr lang="fr-FR"/>
        </a:p>
      </dgm:t>
    </dgm:pt>
    <dgm:pt modelId="{A2649254-A7BA-4715-9EB5-F0D8760F0F2D}">
      <dgm:prSet custT="1"/>
      <dgm:spPr/>
      <dgm:t>
        <a:bodyPr/>
        <a:lstStyle/>
        <a:p>
          <a:r>
            <a:rPr lang="fr-FR" sz="1200" b="1"/>
            <a:t>8. Paiement des commissions</a:t>
          </a:r>
          <a:r>
            <a:rPr lang="fr-FR" sz="900"/>
            <a:t/>
          </a:r>
          <a:br>
            <a:rPr lang="fr-FR" sz="900"/>
          </a:br>
          <a:r>
            <a:rPr lang="fr-FR" sz="1000" b="0"/>
            <a:t>Terme</a:t>
          </a:r>
        </a:p>
      </dgm:t>
    </dgm:pt>
    <dgm:pt modelId="{4EB34A8B-3CC4-4516-90E2-C6BA49DD1FDD}" type="parTrans" cxnId="{7F5D19FF-5030-49A4-8A72-FC70C55CC3BE}">
      <dgm:prSet/>
      <dgm:spPr/>
      <dgm:t>
        <a:bodyPr/>
        <a:lstStyle/>
        <a:p>
          <a:endParaRPr lang="fr-FR"/>
        </a:p>
      </dgm:t>
    </dgm:pt>
    <dgm:pt modelId="{89907652-8AE5-4DD9-922A-40FA30D85E08}" type="sibTrans" cxnId="{7F5D19FF-5030-49A4-8A72-FC70C55CC3BE}">
      <dgm:prSet/>
      <dgm:spPr/>
      <dgm:t>
        <a:bodyPr/>
        <a:lstStyle/>
        <a:p>
          <a:endParaRPr lang="fr-FR"/>
        </a:p>
      </dgm:t>
    </dgm:pt>
    <dgm:pt modelId="{649AEAF0-C7A1-42A4-8019-BAD33D1394A5}" type="pres">
      <dgm:prSet presAssocID="{4948A5AA-3CB1-40F4-A423-FA7BB72C8466}" presName="diagram" presStyleCnt="0">
        <dgm:presLayoutVars>
          <dgm:dir/>
          <dgm:resizeHandles val="exact"/>
        </dgm:presLayoutVars>
      </dgm:prSet>
      <dgm:spPr/>
      <dgm:t>
        <a:bodyPr/>
        <a:lstStyle/>
        <a:p>
          <a:endParaRPr lang="fr-FR"/>
        </a:p>
      </dgm:t>
    </dgm:pt>
    <dgm:pt modelId="{C1D821DB-B136-465E-8458-9E68B23564A3}" type="pres">
      <dgm:prSet presAssocID="{B8191730-EA0E-44C9-931B-951BEA75D89E}" presName="node" presStyleLbl="node1" presStyleIdx="0" presStyleCnt="10" custScaleX="374981" custScaleY="387680" custLinFactNeighborX="-57639" custLinFactNeighborY="3695">
        <dgm:presLayoutVars>
          <dgm:bulletEnabled val="1"/>
        </dgm:presLayoutVars>
      </dgm:prSet>
      <dgm:spPr/>
      <dgm:t>
        <a:bodyPr/>
        <a:lstStyle/>
        <a:p>
          <a:endParaRPr lang="fr-FR"/>
        </a:p>
      </dgm:t>
    </dgm:pt>
    <dgm:pt modelId="{FDFFCB54-8FC3-424B-ADA2-A0002F3F59BB}" type="pres">
      <dgm:prSet presAssocID="{1C49FBF0-BCB7-4CBD-AB52-1708D6EA4782}" presName="sibTrans" presStyleLbl="sibTrans2D1" presStyleIdx="0" presStyleCnt="9"/>
      <dgm:spPr/>
      <dgm:t>
        <a:bodyPr/>
        <a:lstStyle/>
        <a:p>
          <a:endParaRPr lang="fr-FR"/>
        </a:p>
      </dgm:t>
    </dgm:pt>
    <dgm:pt modelId="{1B7577DE-525A-4B5D-9ECF-DC561CB405C4}" type="pres">
      <dgm:prSet presAssocID="{1C49FBF0-BCB7-4CBD-AB52-1708D6EA4782}" presName="connectorText" presStyleLbl="sibTrans2D1" presStyleIdx="0" presStyleCnt="9"/>
      <dgm:spPr/>
      <dgm:t>
        <a:bodyPr/>
        <a:lstStyle/>
        <a:p>
          <a:endParaRPr lang="fr-FR"/>
        </a:p>
      </dgm:t>
    </dgm:pt>
    <dgm:pt modelId="{64B14204-A4F3-4B96-92AF-223070CCBA28}" type="pres">
      <dgm:prSet presAssocID="{F281AD3F-3113-4764-ADEC-B10F33A7C09A}" presName="node" presStyleLbl="node1" presStyleIdx="1" presStyleCnt="10" custScaleX="316723" custScaleY="388805">
        <dgm:presLayoutVars>
          <dgm:bulletEnabled val="1"/>
        </dgm:presLayoutVars>
      </dgm:prSet>
      <dgm:spPr/>
      <dgm:t>
        <a:bodyPr/>
        <a:lstStyle/>
        <a:p>
          <a:endParaRPr lang="fr-FR"/>
        </a:p>
      </dgm:t>
    </dgm:pt>
    <dgm:pt modelId="{BFC46EAC-5AB8-4964-B490-9733B2001E2D}" type="pres">
      <dgm:prSet presAssocID="{4143253F-1170-4156-AE9D-6F27304A440B}" presName="sibTrans" presStyleLbl="sibTrans2D1" presStyleIdx="1" presStyleCnt="9"/>
      <dgm:spPr/>
      <dgm:t>
        <a:bodyPr/>
        <a:lstStyle/>
        <a:p>
          <a:endParaRPr lang="fr-FR"/>
        </a:p>
      </dgm:t>
    </dgm:pt>
    <dgm:pt modelId="{D01AFDFB-CCBE-4DBC-9E4C-D0DB6A2DB7AE}" type="pres">
      <dgm:prSet presAssocID="{4143253F-1170-4156-AE9D-6F27304A440B}" presName="connectorText" presStyleLbl="sibTrans2D1" presStyleIdx="1" presStyleCnt="9"/>
      <dgm:spPr/>
      <dgm:t>
        <a:bodyPr/>
        <a:lstStyle/>
        <a:p>
          <a:endParaRPr lang="fr-FR"/>
        </a:p>
      </dgm:t>
    </dgm:pt>
    <dgm:pt modelId="{0D74A67F-8721-4588-81B2-98C44E0BCEF5}" type="pres">
      <dgm:prSet presAssocID="{C780A7C5-EED5-43DF-A77D-77AFD58DD7E6}" presName="node" presStyleLbl="node1" presStyleIdx="2" presStyleCnt="10" custScaleX="336927" custScaleY="442649">
        <dgm:presLayoutVars>
          <dgm:bulletEnabled val="1"/>
        </dgm:presLayoutVars>
      </dgm:prSet>
      <dgm:spPr/>
      <dgm:t>
        <a:bodyPr/>
        <a:lstStyle/>
        <a:p>
          <a:endParaRPr lang="fr-FR"/>
        </a:p>
      </dgm:t>
    </dgm:pt>
    <dgm:pt modelId="{FCBA8C98-8753-45D8-8960-E1F8197899EC}" type="pres">
      <dgm:prSet presAssocID="{DB519F1A-0FD8-4C00-ADD0-9E3E8B9A3E5F}" presName="sibTrans" presStyleLbl="sibTrans2D1" presStyleIdx="2" presStyleCnt="9"/>
      <dgm:spPr/>
      <dgm:t>
        <a:bodyPr/>
        <a:lstStyle/>
        <a:p>
          <a:endParaRPr lang="fr-FR"/>
        </a:p>
      </dgm:t>
    </dgm:pt>
    <dgm:pt modelId="{94D9084F-E953-44AD-926C-41E61CC93E0C}" type="pres">
      <dgm:prSet presAssocID="{DB519F1A-0FD8-4C00-ADD0-9E3E8B9A3E5F}" presName="connectorText" presStyleLbl="sibTrans2D1" presStyleIdx="2" presStyleCnt="9"/>
      <dgm:spPr/>
      <dgm:t>
        <a:bodyPr/>
        <a:lstStyle/>
        <a:p>
          <a:endParaRPr lang="fr-FR"/>
        </a:p>
      </dgm:t>
    </dgm:pt>
    <dgm:pt modelId="{DC32DF0B-4793-4512-AA6D-3A8F1D1E8A86}" type="pres">
      <dgm:prSet presAssocID="{90619555-C74A-416D-9647-B8FE6E74A59D}" presName="node" presStyleLbl="node1" presStyleIdx="3" presStyleCnt="10" custScaleX="407854" custScaleY="379254">
        <dgm:presLayoutVars>
          <dgm:bulletEnabled val="1"/>
        </dgm:presLayoutVars>
      </dgm:prSet>
      <dgm:spPr/>
      <dgm:t>
        <a:bodyPr/>
        <a:lstStyle/>
        <a:p>
          <a:endParaRPr lang="fr-FR"/>
        </a:p>
      </dgm:t>
    </dgm:pt>
    <dgm:pt modelId="{8E12990E-F7DF-417E-96B3-FF2FB1B2AA23}" type="pres">
      <dgm:prSet presAssocID="{5E01574D-D020-4964-8D54-EDE9BE48A895}" presName="sibTrans" presStyleLbl="sibTrans2D1" presStyleIdx="3" presStyleCnt="9"/>
      <dgm:spPr/>
      <dgm:t>
        <a:bodyPr/>
        <a:lstStyle/>
        <a:p>
          <a:endParaRPr lang="fr-FR"/>
        </a:p>
      </dgm:t>
    </dgm:pt>
    <dgm:pt modelId="{039458C7-A617-45D6-83B1-34281FE3B4AF}" type="pres">
      <dgm:prSet presAssocID="{5E01574D-D020-4964-8D54-EDE9BE48A895}" presName="connectorText" presStyleLbl="sibTrans2D1" presStyleIdx="3" presStyleCnt="9"/>
      <dgm:spPr/>
      <dgm:t>
        <a:bodyPr/>
        <a:lstStyle/>
        <a:p>
          <a:endParaRPr lang="fr-FR"/>
        </a:p>
      </dgm:t>
    </dgm:pt>
    <dgm:pt modelId="{AFCBB05B-3E60-472E-9B17-D64483F28C4E}" type="pres">
      <dgm:prSet presAssocID="{673F84E2-7829-4279-A521-E233A41EDDD1}" presName="node" presStyleLbl="node1" presStyleIdx="4" presStyleCnt="10" custScaleX="325969" custScaleY="352139">
        <dgm:presLayoutVars>
          <dgm:bulletEnabled val="1"/>
        </dgm:presLayoutVars>
      </dgm:prSet>
      <dgm:spPr/>
      <dgm:t>
        <a:bodyPr/>
        <a:lstStyle/>
        <a:p>
          <a:endParaRPr lang="fr-FR"/>
        </a:p>
      </dgm:t>
    </dgm:pt>
    <dgm:pt modelId="{B3FF43B6-C6E1-4F76-89B6-01DB6E03CB62}" type="pres">
      <dgm:prSet presAssocID="{C9A95565-C014-43EE-8E96-EE1384715B57}" presName="sibTrans" presStyleLbl="sibTrans2D1" presStyleIdx="4" presStyleCnt="9"/>
      <dgm:spPr/>
      <dgm:t>
        <a:bodyPr/>
        <a:lstStyle/>
        <a:p>
          <a:endParaRPr lang="fr-FR"/>
        </a:p>
      </dgm:t>
    </dgm:pt>
    <dgm:pt modelId="{CBA7F18E-D548-432F-A4A2-D3374B5D2473}" type="pres">
      <dgm:prSet presAssocID="{C9A95565-C014-43EE-8E96-EE1384715B57}" presName="connectorText" presStyleLbl="sibTrans2D1" presStyleIdx="4" presStyleCnt="9"/>
      <dgm:spPr/>
      <dgm:t>
        <a:bodyPr/>
        <a:lstStyle/>
        <a:p>
          <a:endParaRPr lang="fr-FR"/>
        </a:p>
      </dgm:t>
    </dgm:pt>
    <dgm:pt modelId="{B459E1BA-4316-4F8A-B2E5-41D6F8F85519}" type="pres">
      <dgm:prSet presAssocID="{27131CDE-728D-4825-B033-941D27DE390E}" presName="node" presStyleLbl="node1" presStyleIdx="5" presStyleCnt="10" custScaleX="315245" custScaleY="386338" custLinFactNeighborX="-1209" custLinFactNeighborY="-4030">
        <dgm:presLayoutVars>
          <dgm:bulletEnabled val="1"/>
        </dgm:presLayoutVars>
      </dgm:prSet>
      <dgm:spPr/>
      <dgm:t>
        <a:bodyPr/>
        <a:lstStyle/>
        <a:p>
          <a:endParaRPr lang="fr-FR"/>
        </a:p>
      </dgm:t>
    </dgm:pt>
    <dgm:pt modelId="{9C6C2960-856F-4A0A-8BFD-1C62E2649B06}" type="pres">
      <dgm:prSet presAssocID="{E1770A27-9B67-4384-BC09-3C1269DA15CA}" presName="sibTrans" presStyleLbl="sibTrans2D1" presStyleIdx="5" presStyleCnt="9"/>
      <dgm:spPr/>
      <dgm:t>
        <a:bodyPr/>
        <a:lstStyle/>
        <a:p>
          <a:endParaRPr lang="fr-FR"/>
        </a:p>
      </dgm:t>
    </dgm:pt>
    <dgm:pt modelId="{FC070241-941A-4390-9D48-9696C7CB23DF}" type="pres">
      <dgm:prSet presAssocID="{E1770A27-9B67-4384-BC09-3C1269DA15CA}" presName="connectorText" presStyleLbl="sibTrans2D1" presStyleIdx="5" presStyleCnt="9"/>
      <dgm:spPr/>
      <dgm:t>
        <a:bodyPr/>
        <a:lstStyle/>
        <a:p>
          <a:endParaRPr lang="fr-FR"/>
        </a:p>
      </dgm:t>
    </dgm:pt>
    <dgm:pt modelId="{F36BCFA9-4F8D-4C63-B225-9F57C294CE53}" type="pres">
      <dgm:prSet presAssocID="{F9F042D4-0C3C-467B-8ABA-47F41BD85603}" presName="node" presStyleLbl="node1" presStyleIdx="6" presStyleCnt="10" custScaleX="329447" custScaleY="378567">
        <dgm:presLayoutVars>
          <dgm:bulletEnabled val="1"/>
        </dgm:presLayoutVars>
      </dgm:prSet>
      <dgm:spPr/>
      <dgm:t>
        <a:bodyPr/>
        <a:lstStyle/>
        <a:p>
          <a:endParaRPr lang="fr-FR"/>
        </a:p>
      </dgm:t>
    </dgm:pt>
    <dgm:pt modelId="{EE32F813-E7D2-4C5D-9559-B157E06455B8}" type="pres">
      <dgm:prSet presAssocID="{5492DF2D-E8D4-4225-8DCC-EC2D18B22E16}" presName="sibTrans" presStyleLbl="sibTrans2D1" presStyleIdx="6" presStyleCnt="9"/>
      <dgm:spPr/>
      <dgm:t>
        <a:bodyPr/>
        <a:lstStyle/>
        <a:p>
          <a:endParaRPr lang="fr-FR"/>
        </a:p>
      </dgm:t>
    </dgm:pt>
    <dgm:pt modelId="{B910460A-207F-4A5C-B44B-C234DB9BE837}" type="pres">
      <dgm:prSet presAssocID="{5492DF2D-E8D4-4225-8DCC-EC2D18B22E16}" presName="connectorText" presStyleLbl="sibTrans2D1" presStyleIdx="6" presStyleCnt="9"/>
      <dgm:spPr/>
      <dgm:t>
        <a:bodyPr/>
        <a:lstStyle/>
        <a:p>
          <a:endParaRPr lang="fr-FR"/>
        </a:p>
      </dgm:t>
    </dgm:pt>
    <dgm:pt modelId="{194C674F-0687-4E14-8C9B-298E5AD1BD17}" type="pres">
      <dgm:prSet presAssocID="{3A4EA589-AB60-4B16-9692-A10391147A8E}" presName="node" presStyleLbl="node1" presStyleIdx="7" presStyleCnt="10" custScaleX="278330" custScaleY="368253">
        <dgm:presLayoutVars>
          <dgm:bulletEnabled val="1"/>
        </dgm:presLayoutVars>
      </dgm:prSet>
      <dgm:spPr/>
      <dgm:t>
        <a:bodyPr/>
        <a:lstStyle/>
        <a:p>
          <a:endParaRPr lang="fr-FR"/>
        </a:p>
      </dgm:t>
    </dgm:pt>
    <dgm:pt modelId="{7FA8D8AD-D211-4D08-8EFE-8D767D250A1D}" type="pres">
      <dgm:prSet presAssocID="{D98ADB8A-EC72-4429-877B-F716BC782B6B}" presName="sibTrans" presStyleLbl="sibTrans2D1" presStyleIdx="7" presStyleCnt="9"/>
      <dgm:spPr/>
      <dgm:t>
        <a:bodyPr/>
        <a:lstStyle/>
        <a:p>
          <a:endParaRPr lang="fr-FR"/>
        </a:p>
      </dgm:t>
    </dgm:pt>
    <dgm:pt modelId="{708A4C08-CAA4-458D-B585-6E9EAC402E06}" type="pres">
      <dgm:prSet presAssocID="{D98ADB8A-EC72-4429-877B-F716BC782B6B}" presName="connectorText" presStyleLbl="sibTrans2D1" presStyleIdx="7" presStyleCnt="9"/>
      <dgm:spPr/>
      <dgm:t>
        <a:bodyPr/>
        <a:lstStyle/>
        <a:p>
          <a:endParaRPr lang="fr-FR"/>
        </a:p>
      </dgm:t>
    </dgm:pt>
    <dgm:pt modelId="{AAB16B44-1E66-4285-888C-CA12D26760C5}" type="pres">
      <dgm:prSet presAssocID="{C6748A4D-773B-471B-8765-77B26CE4312D}" presName="node" presStyleLbl="node1" presStyleIdx="8" presStyleCnt="10" custScaleX="271419" custScaleY="353473">
        <dgm:presLayoutVars>
          <dgm:bulletEnabled val="1"/>
        </dgm:presLayoutVars>
      </dgm:prSet>
      <dgm:spPr/>
      <dgm:t>
        <a:bodyPr/>
        <a:lstStyle/>
        <a:p>
          <a:endParaRPr lang="fr-FR"/>
        </a:p>
      </dgm:t>
    </dgm:pt>
    <dgm:pt modelId="{6343C01F-8958-4D60-A1A2-B2E36A95ACDD}" type="pres">
      <dgm:prSet presAssocID="{891E366D-86B5-4420-AA6C-1C8AD76E62DF}" presName="sibTrans" presStyleLbl="sibTrans2D1" presStyleIdx="8" presStyleCnt="9"/>
      <dgm:spPr/>
      <dgm:t>
        <a:bodyPr/>
        <a:lstStyle/>
        <a:p>
          <a:endParaRPr lang="fr-FR"/>
        </a:p>
      </dgm:t>
    </dgm:pt>
    <dgm:pt modelId="{422014D6-AD82-4A01-934B-7CC354E69C9D}" type="pres">
      <dgm:prSet presAssocID="{891E366D-86B5-4420-AA6C-1C8AD76E62DF}" presName="connectorText" presStyleLbl="sibTrans2D1" presStyleIdx="8" presStyleCnt="9"/>
      <dgm:spPr/>
      <dgm:t>
        <a:bodyPr/>
        <a:lstStyle/>
        <a:p>
          <a:endParaRPr lang="fr-FR"/>
        </a:p>
      </dgm:t>
    </dgm:pt>
    <dgm:pt modelId="{DE358AD4-99E9-4037-B5AD-25618C38BE01}" type="pres">
      <dgm:prSet presAssocID="{A2649254-A7BA-4715-9EB5-F0D8760F0F2D}" presName="node" presStyleLbl="node1" presStyleIdx="9" presStyleCnt="10" custScaleX="375547" custScaleY="249285">
        <dgm:presLayoutVars>
          <dgm:bulletEnabled val="1"/>
        </dgm:presLayoutVars>
      </dgm:prSet>
      <dgm:spPr/>
      <dgm:t>
        <a:bodyPr/>
        <a:lstStyle/>
        <a:p>
          <a:endParaRPr lang="fr-FR"/>
        </a:p>
      </dgm:t>
    </dgm:pt>
  </dgm:ptLst>
  <dgm:cxnLst>
    <dgm:cxn modelId="{1F628DF4-72A0-452F-923D-77ABF9249949}" type="presOf" srcId="{C6748A4D-773B-471B-8765-77B26CE4312D}" destId="{AAB16B44-1E66-4285-888C-CA12D26760C5}" srcOrd="0" destOrd="0" presId="urn:microsoft.com/office/officeart/2005/8/layout/process5"/>
    <dgm:cxn modelId="{136005A8-210F-4B22-AFD5-307C83C4F160}" srcId="{4948A5AA-3CB1-40F4-A423-FA7BB72C8466}" destId="{90619555-C74A-416D-9647-B8FE6E74A59D}" srcOrd="3" destOrd="0" parTransId="{5D92FA49-6C13-4242-AADF-0031AF0F68CA}" sibTransId="{5E01574D-D020-4964-8D54-EDE9BE48A895}"/>
    <dgm:cxn modelId="{9E55D4A2-961D-48C9-A0F3-B80D64142FD2}" type="presOf" srcId="{C9A95565-C014-43EE-8E96-EE1384715B57}" destId="{CBA7F18E-D548-432F-A4A2-D3374B5D2473}" srcOrd="1" destOrd="0" presId="urn:microsoft.com/office/officeart/2005/8/layout/process5"/>
    <dgm:cxn modelId="{EE6CA3B8-C013-4C9A-AC24-1D4421C18422}" type="presOf" srcId="{E1770A27-9B67-4384-BC09-3C1269DA15CA}" destId="{9C6C2960-856F-4A0A-8BFD-1C62E2649B06}" srcOrd="0" destOrd="0" presId="urn:microsoft.com/office/officeart/2005/8/layout/process5"/>
    <dgm:cxn modelId="{5BF078D4-811D-4D10-9838-98307D3AC68C}" srcId="{4948A5AA-3CB1-40F4-A423-FA7BB72C8466}" destId="{F281AD3F-3113-4764-ADEC-B10F33A7C09A}" srcOrd="1" destOrd="0" parTransId="{37DB9009-2929-4538-956A-A6BD563A508E}" sibTransId="{4143253F-1170-4156-AE9D-6F27304A440B}"/>
    <dgm:cxn modelId="{C421A18C-CA5E-4245-B703-D7F7E06EA14D}" type="presOf" srcId="{A2649254-A7BA-4715-9EB5-F0D8760F0F2D}" destId="{DE358AD4-99E9-4037-B5AD-25618C38BE01}" srcOrd="0" destOrd="0" presId="urn:microsoft.com/office/officeart/2005/8/layout/process5"/>
    <dgm:cxn modelId="{4E781823-7FF5-4414-8C73-B120732C22FE}" type="presOf" srcId="{B8191730-EA0E-44C9-931B-951BEA75D89E}" destId="{C1D821DB-B136-465E-8458-9E68B23564A3}" srcOrd="0" destOrd="0" presId="urn:microsoft.com/office/officeart/2005/8/layout/process5"/>
    <dgm:cxn modelId="{4393E9B8-3B82-45D1-844D-60ED9B4A11F7}" srcId="{4948A5AA-3CB1-40F4-A423-FA7BB72C8466}" destId="{C780A7C5-EED5-43DF-A77D-77AFD58DD7E6}" srcOrd="2" destOrd="0" parTransId="{230B014D-A680-43DD-A71E-54B33492D7A7}" sibTransId="{DB519F1A-0FD8-4C00-ADD0-9E3E8B9A3E5F}"/>
    <dgm:cxn modelId="{D0BD9662-3099-42CA-9583-51452B32A74E}" type="presOf" srcId="{1C49FBF0-BCB7-4CBD-AB52-1708D6EA4782}" destId="{1B7577DE-525A-4B5D-9ECF-DC561CB405C4}" srcOrd="1" destOrd="0" presId="urn:microsoft.com/office/officeart/2005/8/layout/process5"/>
    <dgm:cxn modelId="{0CD4DAB0-21E0-4CD3-A1A3-EB107A7FE77C}" srcId="{4948A5AA-3CB1-40F4-A423-FA7BB72C8466}" destId="{27131CDE-728D-4825-B033-941D27DE390E}" srcOrd="5" destOrd="0" parTransId="{206D6742-B73B-494A-B8F0-FD47570424CA}" sibTransId="{E1770A27-9B67-4384-BC09-3C1269DA15CA}"/>
    <dgm:cxn modelId="{FFB73AB1-4BB0-4984-8667-1BBFA65B6269}" type="presOf" srcId="{3A4EA589-AB60-4B16-9692-A10391147A8E}" destId="{194C674F-0687-4E14-8C9B-298E5AD1BD17}" srcOrd="0" destOrd="0" presId="urn:microsoft.com/office/officeart/2005/8/layout/process5"/>
    <dgm:cxn modelId="{1EE52146-B397-4C57-BF59-900457BA3C66}" type="presOf" srcId="{4143253F-1170-4156-AE9D-6F27304A440B}" destId="{BFC46EAC-5AB8-4964-B490-9733B2001E2D}" srcOrd="0" destOrd="0" presId="urn:microsoft.com/office/officeart/2005/8/layout/process5"/>
    <dgm:cxn modelId="{A8EE7D2F-E63E-4D66-A968-823B077AC833}" type="presOf" srcId="{673F84E2-7829-4279-A521-E233A41EDDD1}" destId="{AFCBB05B-3E60-472E-9B17-D64483F28C4E}" srcOrd="0" destOrd="0" presId="urn:microsoft.com/office/officeart/2005/8/layout/process5"/>
    <dgm:cxn modelId="{9E144387-4806-4814-83DC-DDE3F30C2222}" srcId="{4948A5AA-3CB1-40F4-A423-FA7BB72C8466}" destId="{3A4EA589-AB60-4B16-9692-A10391147A8E}" srcOrd="7" destOrd="0" parTransId="{F80DA340-3FF0-48EB-8CE1-928CAFAA90A2}" sibTransId="{D98ADB8A-EC72-4429-877B-F716BC782B6B}"/>
    <dgm:cxn modelId="{855AE566-E6DC-4343-A1DF-D12D9889EFA7}" type="presOf" srcId="{27131CDE-728D-4825-B033-941D27DE390E}" destId="{B459E1BA-4316-4F8A-B2E5-41D6F8F85519}" srcOrd="0" destOrd="0" presId="urn:microsoft.com/office/officeart/2005/8/layout/process5"/>
    <dgm:cxn modelId="{10122F39-C254-403F-84EB-B1D0413FFA96}" type="presOf" srcId="{5492DF2D-E8D4-4225-8DCC-EC2D18B22E16}" destId="{EE32F813-E7D2-4C5D-9559-B157E06455B8}" srcOrd="0" destOrd="0" presId="urn:microsoft.com/office/officeart/2005/8/layout/process5"/>
    <dgm:cxn modelId="{1B0B3937-2DB2-429B-9E3B-90E48040B0C1}" srcId="{4948A5AA-3CB1-40F4-A423-FA7BB72C8466}" destId="{C6748A4D-773B-471B-8765-77B26CE4312D}" srcOrd="8" destOrd="0" parTransId="{85023592-88A6-4318-B092-C700168C5C7F}" sibTransId="{891E366D-86B5-4420-AA6C-1C8AD76E62DF}"/>
    <dgm:cxn modelId="{915D858D-5C63-4A51-B4BA-57E48A5638ED}" type="presOf" srcId="{E1770A27-9B67-4384-BC09-3C1269DA15CA}" destId="{FC070241-941A-4390-9D48-9696C7CB23DF}" srcOrd="1" destOrd="0" presId="urn:microsoft.com/office/officeart/2005/8/layout/process5"/>
    <dgm:cxn modelId="{C59EAB9D-85D1-4EE9-B73A-BE7ECF7352BF}" type="presOf" srcId="{891E366D-86B5-4420-AA6C-1C8AD76E62DF}" destId="{6343C01F-8958-4D60-A1A2-B2E36A95ACDD}" srcOrd="0" destOrd="0" presId="urn:microsoft.com/office/officeart/2005/8/layout/process5"/>
    <dgm:cxn modelId="{223CB5F3-5243-404C-B905-03EC0F6895DD}" type="presOf" srcId="{D98ADB8A-EC72-4429-877B-F716BC782B6B}" destId="{708A4C08-CAA4-458D-B585-6E9EAC402E06}" srcOrd="1" destOrd="0" presId="urn:microsoft.com/office/officeart/2005/8/layout/process5"/>
    <dgm:cxn modelId="{49E05E4A-9046-4E60-A850-34D31ADD49DE}" type="presOf" srcId="{90619555-C74A-416D-9647-B8FE6E74A59D}" destId="{DC32DF0B-4793-4512-AA6D-3A8F1D1E8A86}" srcOrd="0" destOrd="0" presId="urn:microsoft.com/office/officeart/2005/8/layout/process5"/>
    <dgm:cxn modelId="{38AF662D-723B-4067-8769-8769B86A07A1}" type="presOf" srcId="{D98ADB8A-EC72-4429-877B-F716BC782B6B}" destId="{7FA8D8AD-D211-4D08-8EFE-8D767D250A1D}" srcOrd="0" destOrd="0" presId="urn:microsoft.com/office/officeart/2005/8/layout/process5"/>
    <dgm:cxn modelId="{A9C6502D-21D7-43E5-BF85-51E4D5C45120}" type="presOf" srcId="{4143253F-1170-4156-AE9D-6F27304A440B}" destId="{D01AFDFB-CCBE-4DBC-9E4C-D0DB6A2DB7AE}" srcOrd="1" destOrd="0" presId="urn:microsoft.com/office/officeart/2005/8/layout/process5"/>
    <dgm:cxn modelId="{20C3895C-749B-4CB9-970E-91CAA7A7E89D}" type="presOf" srcId="{F9F042D4-0C3C-467B-8ABA-47F41BD85603}" destId="{F36BCFA9-4F8D-4C63-B225-9F57C294CE53}" srcOrd="0" destOrd="0" presId="urn:microsoft.com/office/officeart/2005/8/layout/process5"/>
    <dgm:cxn modelId="{139BBB05-9227-4BE2-8B8B-7887B3A8CE60}" type="presOf" srcId="{DB519F1A-0FD8-4C00-ADD0-9E3E8B9A3E5F}" destId="{FCBA8C98-8753-45D8-8960-E1F8197899EC}" srcOrd="0" destOrd="0" presId="urn:microsoft.com/office/officeart/2005/8/layout/process5"/>
    <dgm:cxn modelId="{7F5D19FF-5030-49A4-8A72-FC70C55CC3BE}" srcId="{4948A5AA-3CB1-40F4-A423-FA7BB72C8466}" destId="{A2649254-A7BA-4715-9EB5-F0D8760F0F2D}" srcOrd="9" destOrd="0" parTransId="{4EB34A8B-3CC4-4516-90E2-C6BA49DD1FDD}" sibTransId="{89907652-8AE5-4DD9-922A-40FA30D85E08}"/>
    <dgm:cxn modelId="{59EB6367-F339-4EB6-AF18-987FB567DE1F}" srcId="{4948A5AA-3CB1-40F4-A423-FA7BB72C8466}" destId="{673F84E2-7829-4279-A521-E233A41EDDD1}" srcOrd="4" destOrd="0" parTransId="{3F00ADF4-C53E-440F-977D-4ED4E8676931}" sibTransId="{C9A95565-C014-43EE-8E96-EE1384715B57}"/>
    <dgm:cxn modelId="{199BBF71-90EA-4E35-AD98-78E6EAFDA6A2}" type="presOf" srcId="{F281AD3F-3113-4764-ADEC-B10F33A7C09A}" destId="{64B14204-A4F3-4B96-92AF-223070CCBA28}" srcOrd="0" destOrd="0" presId="urn:microsoft.com/office/officeart/2005/8/layout/process5"/>
    <dgm:cxn modelId="{EC71188B-A081-465B-A181-494BB1A5D219}" type="presOf" srcId="{5E01574D-D020-4964-8D54-EDE9BE48A895}" destId="{8E12990E-F7DF-417E-96B3-FF2FB1B2AA23}" srcOrd="0" destOrd="0" presId="urn:microsoft.com/office/officeart/2005/8/layout/process5"/>
    <dgm:cxn modelId="{B34F7AC2-4DF7-429D-AFBD-05E72F98DE4B}" type="presOf" srcId="{5E01574D-D020-4964-8D54-EDE9BE48A895}" destId="{039458C7-A617-45D6-83B1-34281FE3B4AF}" srcOrd="1" destOrd="0" presId="urn:microsoft.com/office/officeart/2005/8/layout/process5"/>
    <dgm:cxn modelId="{98BD212B-68B3-4DBF-8195-AC39E153C5F1}" srcId="{4948A5AA-3CB1-40F4-A423-FA7BB72C8466}" destId="{B8191730-EA0E-44C9-931B-951BEA75D89E}" srcOrd="0" destOrd="0" parTransId="{0E452148-7A71-4E1A-8F37-E8E49D422D4F}" sibTransId="{1C49FBF0-BCB7-4CBD-AB52-1708D6EA4782}"/>
    <dgm:cxn modelId="{811DE620-901F-4871-9454-A5D4DC3CF1CC}" type="presOf" srcId="{DB519F1A-0FD8-4C00-ADD0-9E3E8B9A3E5F}" destId="{94D9084F-E953-44AD-926C-41E61CC93E0C}" srcOrd="1" destOrd="0" presId="urn:microsoft.com/office/officeart/2005/8/layout/process5"/>
    <dgm:cxn modelId="{D02E5465-1ADA-4B1A-AC28-EA89BA6EDD8E}" type="presOf" srcId="{C780A7C5-EED5-43DF-A77D-77AFD58DD7E6}" destId="{0D74A67F-8721-4588-81B2-98C44E0BCEF5}" srcOrd="0" destOrd="0" presId="urn:microsoft.com/office/officeart/2005/8/layout/process5"/>
    <dgm:cxn modelId="{82CCCE2B-4A37-49CE-BA24-429B07FFD188}" type="presOf" srcId="{1C49FBF0-BCB7-4CBD-AB52-1708D6EA4782}" destId="{FDFFCB54-8FC3-424B-ADA2-A0002F3F59BB}" srcOrd="0" destOrd="0" presId="urn:microsoft.com/office/officeart/2005/8/layout/process5"/>
    <dgm:cxn modelId="{D2D5BE2F-B024-4E31-8DA3-151E1E0855A5}" srcId="{4948A5AA-3CB1-40F4-A423-FA7BB72C8466}" destId="{F9F042D4-0C3C-467B-8ABA-47F41BD85603}" srcOrd="6" destOrd="0" parTransId="{A6EB8905-5978-4953-B3DB-449D9965FF9F}" sibTransId="{5492DF2D-E8D4-4225-8DCC-EC2D18B22E16}"/>
    <dgm:cxn modelId="{BEF736A4-ACCA-4F90-9823-1EB94EF6E62C}" type="presOf" srcId="{4948A5AA-3CB1-40F4-A423-FA7BB72C8466}" destId="{649AEAF0-C7A1-42A4-8019-BAD33D1394A5}" srcOrd="0" destOrd="0" presId="urn:microsoft.com/office/officeart/2005/8/layout/process5"/>
    <dgm:cxn modelId="{4FA8908D-C907-4D62-845E-369F632C68D5}" type="presOf" srcId="{C9A95565-C014-43EE-8E96-EE1384715B57}" destId="{B3FF43B6-C6E1-4F76-89B6-01DB6E03CB62}" srcOrd="0" destOrd="0" presId="urn:microsoft.com/office/officeart/2005/8/layout/process5"/>
    <dgm:cxn modelId="{3DABFD34-43EA-408A-9B5F-FF160B939035}" type="presOf" srcId="{891E366D-86B5-4420-AA6C-1C8AD76E62DF}" destId="{422014D6-AD82-4A01-934B-7CC354E69C9D}" srcOrd="1" destOrd="0" presId="urn:microsoft.com/office/officeart/2005/8/layout/process5"/>
    <dgm:cxn modelId="{5D98EDC6-955B-4A1B-B8C3-C45C3DBB9044}" type="presOf" srcId="{5492DF2D-E8D4-4225-8DCC-EC2D18B22E16}" destId="{B910460A-207F-4A5C-B44B-C234DB9BE837}" srcOrd="1" destOrd="0" presId="urn:microsoft.com/office/officeart/2005/8/layout/process5"/>
    <dgm:cxn modelId="{748AC1E5-7229-49C8-9B0E-EBA5037E2A53}" type="presParOf" srcId="{649AEAF0-C7A1-42A4-8019-BAD33D1394A5}" destId="{C1D821DB-B136-465E-8458-9E68B23564A3}" srcOrd="0" destOrd="0" presId="urn:microsoft.com/office/officeart/2005/8/layout/process5"/>
    <dgm:cxn modelId="{AB4C47C4-08F9-494C-8C34-DD7EC6BCE972}" type="presParOf" srcId="{649AEAF0-C7A1-42A4-8019-BAD33D1394A5}" destId="{FDFFCB54-8FC3-424B-ADA2-A0002F3F59BB}" srcOrd="1" destOrd="0" presId="urn:microsoft.com/office/officeart/2005/8/layout/process5"/>
    <dgm:cxn modelId="{B534A530-773C-4588-A3F1-A117B0F318CB}" type="presParOf" srcId="{FDFFCB54-8FC3-424B-ADA2-A0002F3F59BB}" destId="{1B7577DE-525A-4B5D-9ECF-DC561CB405C4}" srcOrd="0" destOrd="0" presId="urn:microsoft.com/office/officeart/2005/8/layout/process5"/>
    <dgm:cxn modelId="{806DC521-F439-47DB-98F5-2BC576D9736D}" type="presParOf" srcId="{649AEAF0-C7A1-42A4-8019-BAD33D1394A5}" destId="{64B14204-A4F3-4B96-92AF-223070CCBA28}" srcOrd="2" destOrd="0" presId="urn:microsoft.com/office/officeart/2005/8/layout/process5"/>
    <dgm:cxn modelId="{8C756739-456D-46F9-84E0-C1A2BEFBC726}" type="presParOf" srcId="{649AEAF0-C7A1-42A4-8019-BAD33D1394A5}" destId="{BFC46EAC-5AB8-4964-B490-9733B2001E2D}" srcOrd="3" destOrd="0" presId="urn:microsoft.com/office/officeart/2005/8/layout/process5"/>
    <dgm:cxn modelId="{9549D0FE-3236-4B3D-9915-A0D2D2EC9987}" type="presParOf" srcId="{BFC46EAC-5AB8-4964-B490-9733B2001E2D}" destId="{D01AFDFB-CCBE-4DBC-9E4C-D0DB6A2DB7AE}" srcOrd="0" destOrd="0" presId="urn:microsoft.com/office/officeart/2005/8/layout/process5"/>
    <dgm:cxn modelId="{DD8DEA7F-6339-4E85-9807-C7E8EF1AD5C4}" type="presParOf" srcId="{649AEAF0-C7A1-42A4-8019-BAD33D1394A5}" destId="{0D74A67F-8721-4588-81B2-98C44E0BCEF5}" srcOrd="4" destOrd="0" presId="urn:microsoft.com/office/officeart/2005/8/layout/process5"/>
    <dgm:cxn modelId="{61465D55-0843-4B0C-8449-6B8244782FC6}" type="presParOf" srcId="{649AEAF0-C7A1-42A4-8019-BAD33D1394A5}" destId="{FCBA8C98-8753-45D8-8960-E1F8197899EC}" srcOrd="5" destOrd="0" presId="urn:microsoft.com/office/officeart/2005/8/layout/process5"/>
    <dgm:cxn modelId="{724D22CF-023A-4096-9531-35FD2BDF7C2D}" type="presParOf" srcId="{FCBA8C98-8753-45D8-8960-E1F8197899EC}" destId="{94D9084F-E953-44AD-926C-41E61CC93E0C}" srcOrd="0" destOrd="0" presId="urn:microsoft.com/office/officeart/2005/8/layout/process5"/>
    <dgm:cxn modelId="{937AB50E-D6D3-4451-97AA-51DE6EDFCA8E}" type="presParOf" srcId="{649AEAF0-C7A1-42A4-8019-BAD33D1394A5}" destId="{DC32DF0B-4793-4512-AA6D-3A8F1D1E8A86}" srcOrd="6" destOrd="0" presId="urn:microsoft.com/office/officeart/2005/8/layout/process5"/>
    <dgm:cxn modelId="{83E7E010-DB25-4D82-93C1-09DCA47AE530}" type="presParOf" srcId="{649AEAF0-C7A1-42A4-8019-BAD33D1394A5}" destId="{8E12990E-F7DF-417E-96B3-FF2FB1B2AA23}" srcOrd="7" destOrd="0" presId="urn:microsoft.com/office/officeart/2005/8/layout/process5"/>
    <dgm:cxn modelId="{4CA7D844-3CA6-4A93-9C2E-A86D2233C0A1}" type="presParOf" srcId="{8E12990E-F7DF-417E-96B3-FF2FB1B2AA23}" destId="{039458C7-A617-45D6-83B1-34281FE3B4AF}" srcOrd="0" destOrd="0" presId="urn:microsoft.com/office/officeart/2005/8/layout/process5"/>
    <dgm:cxn modelId="{7BAA29AF-4A72-4756-8393-4F0D2A063517}" type="presParOf" srcId="{649AEAF0-C7A1-42A4-8019-BAD33D1394A5}" destId="{AFCBB05B-3E60-472E-9B17-D64483F28C4E}" srcOrd="8" destOrd="0" presId="urn:microsoft.com/office/officeart/2005/8/layout/process5"/>
    <dgm:cxn modelId="{5371BE4E-9432-4DF6-A503-5D7DF0887E84}" type="presParOf" srcId="{649AEAF0-C7A1-42A4-8019-BAD33D1394A5}" destId="{B3FF43B6-C6E1-4F76-89B6-01DB6E03CB62}" srcOrd="9" destOrd="0" presId="urn:microsoft.com/office/officeart/2005/8/layout/process5"/>
    <dgm:cxn modelId="{A207560C-6467-41E1-B352-B06873AEFE08}" type="presParOf" srcId="{B3FF43B6-C6E1-4F76-89B6-01DB6E03CB62}" destId="{CBA7F18E-D548-432F-A4A2-D3374B5D2473}" srcOrd="0" destOrd="0" presId="urn:microsoft.com/office/officeart/2005/8/layout/process5"/>
    <dgm:cxn modelId="{3EC796E8-A777-4CFB-B7C3-54DA0F04B198}" type="presParOf" srcId="{649AEAF0-C7A1-42A4-8019-BAD33D1394A5}" destId="{B459E1BA-4316-4F8A-B2E5-41D6F8F85519}" srcOrd="10" destOrd="0" presId="urn:microsoft.com/office/officeart/2005/8/layout/process5"/>
    <dgm:cxn modelId="{3A168970-6059-4006-B227-3EBED3728956}" type="presParOf" srcId="{649AEAF0-C7A1-42A4-8019-BAD33D1394A5}" destId="{9C6C2960-856F-4A0A-8BFD-1C62E2649B06}" srcOrd="11" destOrd="0" presId="urn:microsoft.com/office/officeart/2005/8/layout/process5"/>
    <dgm:cxn modelId="{888DF9DE-4212-40D8-A078-C53B7D2B923F}" type="presParOf" srcId="{9C6C2960-856F-4A0A-8BFD-1C62E2649B06}" destId="{FC070241-941A-4390-9D48-9696C7CB23DF}" srcOrd="0" destOrd="0" presId="urn:microsoft.com/office/officeart/2005/8/layout/process5"/>
    <dgm:cxn modelId="{BF851D4F-BA37-49BA-95C7-0F3FEEAA6775}" type="presParOf" srcId="{649AEAF0-C7A1-42A4-8019-BAD33D1394A5}" destId="{F36BCFA9-4F8D-4C63-B225-9F57C294CE53}" srcOrd="12" destOrd="0" presId="urn:microsoft.com/office/officeart/2005/8/layout/process5"/>
    <dgm:cxn modelId="{2F297830-541E-432A-851E-10C4AB0D9605}" type="presParOf" srcId="{649AEAF0-C7A1-42A4-8019-BAD33D1394A5}" destId="{EE32F813-E7D2-4C5D-9559-B157E06455B8}" srcOrd="13" destOrd="0" presId="urn:microsoft.com/office/officeart/2005/8/layout/process5"/>
    <dgm:cxn modelId="{0E967632-4917-4C38-8416-7954C6C72D43}" type="presParOf" srcId="{EE32F813-E7D2-4C5D-9559-B157E06455B8}" destId="{B910460A-207F-4A5C-B44B-C234DB9BE837}" srcOrd="0" destOrd="0" presId="urn:microsoft.com/office/officeart/2005/8/layout/process5"/>
    <dgm:cxn modelId="{64A1BC97-5BBA-4832-B598-868642BFC6B5}" type="presParOf" srcId="{649AEAF0-C7A1-42A4-8019-BAD33D1394A5}" destId="{194C674F-0687-4E14-8C9B-298E5AD1BD17}" srcOrd="14" destOrd="0" presId="urn:microsoft.com/office/officeart/2005/8/layout/process5"/>
    <dgm:cxn modelId="{739E9002-96C6-4CF8-8B6A-C428A4F13413}" type="presParOf" srcId="{649AEAF0-C7A1-42A4-8019-BAD33D1394A5}" destId="{7FA8D8AD-D211-4D08-8EFE-8D767D250A1D}" srcOrd="15" destOrd="0" presId="urn:microsoft.com/office/officeart/2005/8/layout/process5"/>
    <dgm:cxn modelId="{2E50E28E-D9C4-46F0-97D7-98F2506C4F86}" type="presParOf" srcId="{7FA8D8AD-D211-4D08-8EFE-8D767D250A1D}" destId="{708A4C08-CAA4-458D-B585-6E9EAC402E06}" srcOrd="0" destOrd="0" presId="urn:microsoft.com/office/officeart/2005/8/layout/process5"/>
    <dgm:cxn modelId="{0970E3A3-51D3-46B5-B915-AF047C1283BC}" type="presParOf" srcId="{649AEAF0-C7A1-42A4-8019-BAD33D1394A5}" destId="{AAB16B44-1E66-4285-888C-CA12D26760C5}" srcOrd="16" destOrd="0" presId="urn:microsoft.com/office/officeart/2005/8/layout/process5"/>
    <dgm:cxn modelId="{B2073ADE-5832-4C6B-B3DD-F33D56A79DBE}" type="presParOf" srcId="{649AEAF0-C7A1-42A4-8019-BAD33D1394A5}" destId="{6343C01F-8958-4D60-A1A2-B2E36A95ACDD}" srcOrd="17" destOrd="0" presId="urn:microsoft.com/office/officeart/2005/8/layout/process5"/>
    <dgm:cxn modelId="{4FD5B3AD-3E42-4B82-9851-A816627A261A}" type="presParOf" srcId="{6343C01F-8958-4D60-A1A2-B2E36A95ACDD}" destId="{422014D6-AD82-4A01-934B-7CC354E69C9D}" srcOrd="0" destOrd="0" presId="urn:microsoft.com/office/officeart/2005/8/layout/process5"/>
    <dgm:cxn modelId="{7E462B3B-A20C-4461-B1AD-693E46E548C2}" type="presParOf" srcId="{649AEAF0-C7A1-42A4-8019-BAD33D1394A5}" destId="{DE358AD4-99E9-4037-B5AD-25618C38BE01}" srcOrd="18" destOrd="0" presId="urn:microsoft.com/office/officeart/2005/8/layout/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821DB-B136-465E-8458-9E68B23564A3}">
      <dsp:nvSpPr>
        <dsp:cNvPr id="0" name=""/>
        <dsp:cNvSpPr/>
      </dsp:nvSpPr>
      <dsp:spPr>
        <a:xfrm>
          <a:off x="3293" y="131214"/>
          <a:ext cx="2147807" cy="110721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t>1. Recontre des besoins </a:t>
          </a:r>
          <a:br>
            <a:rPr lang="fr-FR" sz="1200" b="1" kern="1200"/>
          </a:br>
          <a:r>
            <a:rPr lang="fr-FR" sz="1000" b="0" kern="1200"/>
            <a:t>Vendeur : Besoin de liquidité, veut financer ses actifs en portefeuille</a:t>
          </a:r>
          <a:br>
            <a:rPr lang="fr-FR" sz="1000" b="0" kern="1200"/>
          </a:br>
          <a:r>
            <a:rPr lang="fr-FR" sz="1000" b="0" kern="1200"/>
            <a:t>Achteur : Veut rémunérer ses liquidités de manière sécurisée</a:t>
          </a:r>
        </a:p>
      </dsp:txBody>
      <dsp:txXfrm>
        <a:off x="35722" y="163643"/>
        <a:ext cx="2082949" cy="1042355"/>
      </dsp:txXfrm>
    </dsp:sp>
    <dsp:sp modelId="{FDFFCB54-8FC3-424B-ADA2-A0002F3F59BB}">
      <dsp:nvSpPr>
        <dsp:cNvPr id="0" name=""/>
        <dsp:cNvSpPr/>
      </dsp:nvSpPr>
      <dsp:spPr>
        <a:xfrm>
          <a:off x="2305501" y="467255"/>
          <a:ext cx="371966" cy="43513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fr-FR" sz="1800" kern="1200"/>
        </a:p>
      </dsp:txBody>
      <dsp:txXfrm>
        <a:off x="2305501" y="554281"/>
        <a:ext cx="260376" cy="261078"/>
      </dsp:txXfrm>
    </dsp:sp>
    <dsp:sp modelId="{64B14204-A4F3-4B96-92AF-223070CCBA28}">
      <dsp:nvSpPr>
        <dsp:cNvPr id="0" name=""/>
        <dsp:cNvSpPr/>
      </dsp:nvSpPr>
      <dsp:spPr>
        <a:xfrm>
          <a:off x="2852923" y="158453"/>
          <a:ext cx="1754558" cy="1052734"/>
        </a:xfrm>
        <a:prstGeom prst="roundRect">
          <a:avLst>
            <a:gd name="adj" fmla="val 10000"/>
          </a:avLst>
        </a:prstGeom>
        <a:solidFill>
          <a:schemeClr val="accent3">
            <a:hueOff val="542120"/>
            <a:satOff val="20000"/>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t>2. Négociation des conditions </a:t>
          </a:r>
          <a:r>
            <a:rPr lang="fr-FR" sz="1000" kern="1200"/>
            <a:t/>
          </a:r>
          <a:br>
            <a:rPr lang="fr-FR" sz="1000" kern="1200"/>
          </a:br>
          <a:r>
            <a:rPr lang="fr-FR" sz="1000" b="0" kern="1200"/>
            <a:t>Nature du collatéral livré, durée, taux de commission</a:t>
          </a:r>
        </a:p>
      </dsp:txBody>
      <dsp:txXfrm>
        <a:off x="2883757" y="189287"/>
        <a:ext cx="1692890" cy="991066"/>
      </dsp:txXfrm>
    </dsp:sp>
    <dsp:sp modelId="{BFC46EAC-5AB8-4964-B490-9733B2001E2D}">
      <dsp:nvSpPr>
        <dsp:cNvPr id="0" name=""/>
        <dsp:cNvSpPr/>
      </dsp:nvSpPr>
      <dsp:spPr>
        <a:xfrm>
          <a:off x="4761883" y="467255"/>
          <a:ext cx="371966" cy="435130"/>
        </a:xfrm>
        <a:prstGeom prst="rightArrow">
          <a:avLst>
            <a:gd name="adj1" fmla="val 60000"/>
            <a:gd name="adj2" fmla="val 50000"/>
          </a:avLst>
        </a:prstGeom>
        <a:solidFill>
          <a:schemeClr val="accent3">
            <a:hueOff val="677650"/>
            <a:satOff val="25000"/>
            <a:lumOff val="-367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fr-FR" sz="1800" kern="1200"/>
        </a:p>
      </dsp:txBody>
      <dsp:txXfrm>
        <a:off x="4761883" y="554281"/>
        <a:ext cx="260376" cy="261078"/>
      </dsp:txXfrm>
    </dsp:sp>
    <dsp:sp modelId="{0D74A67F-8721-4588-81B2-98C44E0BCEF5}">
      <dsp:nvSpPr>
        <dsp:cNvPr id="0" name=""/>
        <dsp:cNvSpPr/>
      </dsp:nvSpPr>
      <dsp:spPr>
        <a:xfrm>
          <a:off x="5309305" y="158311"/>
          <a:ext cx="1862129" cy="1053019"/>
        </a:xfrm>
        <a:prstGeom prst="roundRect">
          <a:avLst>
            <a:gd name="adj" fmla="val 10000"/>
          </a:avLst>
        </a:prstGeom>
        <a:solidFill>
          <a:schemeClr val="accent3">
            <a:hueOff val="1084240"/>
            <a:satOff val="40000"/>
            <a:lumOff val="-588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t>3. Confirmation de transaction d'achat </a:t>
          </a:r>
          <a:r>
            <a:rPr lang="fr-FR" sz="1000" kern="1200"/>
            <a:t/>
          </a:r>
          <a:br>
            <a:rPr lang="fr-FR" sz="1000" kern="1200"/>
          </a:br>
          <a:r>
            <a:rPr lang="fr-FR" sz="1000" b="0" kern="1200"/>
            <a:t>Echange des infos sur le trade et les conditions de settlement (trade date, value date, PSET, taux, haircut, etc)</a:t>
          </a:r>
        </a:p>
      </dsp:txBody>
      <dsp:txXfrm>
        <a:off x="5340147" y="189153"/>
        <a:ext cx="1800445" cy="991335"/>
      </dsp:txXfrm>
    </dsp:sp>
    <dsp:sp modelId="{FCBA8C98-8753-45D8-8960-E1F8197899EC}">
      <dsp:nvSpPr>
        <dsp:cNvPr id="0" name=""/>
        <dsp:cNvSpPr/>
      </dsp:nvSpPr>
      <dsp:spPr>
        <a:xfrm rot="5296258">
          <a:off x="6073683" y="1347291"/>
          <a:ext cx="386503" cy="435130"/>
        </a:xfrm>
        <a:prstGeom prst="rightArrow">
          <a:avLst>
            <a:gd name="adj1" fmla="val 60000"/>
            <a:gd name="adj2" fmla="val 50000"/>
          </a:avLst>
        </a:prstGeom>
        <a:solidFill>
          <a:schemeClr val="accent3">
            <a:hueOff val="1355300"/>
            <a:satOff val="50000"/>
            <a:lumOff val="-7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fr-FR" sz="1900" kern="1200"/>
        </a:p>
      </dsp:txBody>
      <dsp:txXfrm rot="-5400000">
        <a:off x="6134646" y="1371631"/>
        <a:ext cx="261078" cy="270552"/>
      </dsp:txXfrm>
    </dsp:sp>
    <dsp:sp modelId="{DC32DF0B-4793-4512-AA6D-3A8F1D1E8A86}">
      <dsp:nvSpPr>
        <dsp:cNvPr id="0" name=""/>
        <dsp:cNvSpPr/>
      </dsp:nvSpPr>
      <dsp:spPr>
        <a:xfrm>
          <a:off x="5416877" y="1940251"/>
          <a:ext cx="1754558" cy="1052734"/>
        </a:xfrm>
        <a:prstGeom prst="roundRect">
          <a:avLst>
            <a:gd name="adj" fmla="val 10000"/>
          </a:avLst>
        </a:prstGeom>
        <a:solidFill>
          <a:schemeClr val="accent3">
            <a:hueOff val="1626359"/>
            <a:satOff val="60000"/>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t>4. Livraison / Settlement</a:t>
          </a:r>
          <a:br>
            <a:rPr lang="fr-FR" sz="1200" b="1" kern="1200"/>
          </a:br>
          <a:r>
            <a:rPr lang="fr-FR" sz="1000" b="0" kern="1200"/>
            <a:t>Echange des titres (collateral) et transfert des fonds entre les parties (DVP</a:t>
          </a:r>
          <a:r>
            <a:rPr lang="fr-FR" sz="1200" kern="1200"/>
            <a:t>)</a:t>
          </a:r>
        </a:p>
      </dsp:txBody>
      <dsp:txXfrm>
        <a:off x="5447711" y="1971085"/>
        <a:ext cx="1692890" cy="991066"/>
      </dsp:txXfrm>
    </dsp:sp>
    <dsp:sp modelId="{8E12990E-F7DF-417E-96B3-FF2FB1B2AA23}">
      <dsp:nvSpPr>
        <dsp:cNvPr id="0" name=""/>
        <dsp:cNvSpPr/>
      </dsp:nvSpPr>
      <dsp:spPr>
        <a:xfrm rot="10800000">
          <a:off x="4890509" y="2249053"/>
          <a:ext cx="371966" cy="435130"/>
        </a:xfrm>
        <a:prstGeom prst="rightArrow">
          <a:avLst>
            <a:gd name="adj1" fmla="val 60000"/>
            <a:gd name="adj2" fmla="val 50000"/>
          </a:avLst>
        </a:prstGeom>
        <a:solidFill>
          <a:schemeClr val="accent3">
            <a:hueOff val="2032949"/>
            <a:satOff val="75000"/>
            <a:lumOff val="-1102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fr-FR" sz="1800" kern="1200"/>
        </a:p>
      </dsp:txBody>
      <dsp:txXfrm rot="10800000">
        <a:off x="5002099" y="2336079"/>
        <a:ext cx="260376" cy="261078"/>
      </dsp:txXfrm>
    </dsp:sp>
    <dsp:sp modelId="{AFCBB05B-3E60-472E-9B17-D64483F28C4E}">
      <dsp:nvSpPr>
        <dsp:cNvPr id="0" name=""/>
        <dsp:cNvSpPr/>
      </dsp:nvSpPr>
      <dsp:spPr>
        <a:xfrm>
          <a:off x="2960495" y="1940251"/>
          <a:ext cx="1754558" cy="1052734"/>
        </a:xfrm>
        <a:prstGeom prst="roundRect">
          <a:avLst>
            <a:gd name="adj" fmla="val 10000"/>
          </a:avLst>
        </a:prstGeom>
        <a:solidFill>
          <a:schemeClr val="accent3">
            <a:hueOff val="2168479"/>
            <a:satOff val="80000"/>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t>5. Mark to Market journalie</a:t>
          </a:r>
          <a:r>
            <a:rPr lang="fr-FR" sz="1000" kern="1200"/>
            <a:t>r </a:t>
          </a:r>
          <a:br>
            <a:rPr lang="fr-FR" sz="1000" kern="1200"/>
          </a:br>
          <a:r>
            <a:rPr lang="fr-FR" sz="1000" b="0" kern="1200"/>
            <a:t>Evaluation MtoM journalière de l'acheteur et procède éventuellement aux appels de marge</a:t>
          </a:r>
        </a:p>
      </dsp:txBody>
      <dsp:txXfrm>
        <a:off x="2991329" y="1971085"/>
        <a:ext cx="1692890" cy="991066"/>
      </dsp:txXfrm>
    </dsp:sp>
    <dsp:sp modelId="{B3FF43B6-C6E1-4F76-89B6-01DB6E03CB62}">
      <dsp:nvSpPr>
        <dsp:cNvPr id="0" name=""/>
        <dsp:cNvSpPr/>
      </dsp:nvSpPr>
      <dsp:spPr>
        <a:xfrm rot="10800000">
          <a:off x="2434128" y="2249053"/>
          <a:ext cx="371966" cy="435130"/>
        </a:xfrm>
        <a:prstGeom prst="righ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fr-FR" sz="1800" kern="1200"/>
        </a:p>
      </dsp:txBody>
      <dsp:txXfrm rot="10800000">
        <a:off x="2545718" y="2336079"/>
        <a:ext cx="260376" cy="261078"/>
      </dsp:txXfrm>
    </dsp:sp>
    <dsp:sp modelId="{B459E1BA-4316-4F8A-B2E5-41D6F8F85519}">
      <dsp:nvSpPr>
        <dsp:cNvPr id="0" name=""/>
        <dsp:cNvSpPr/>
      </dsp:nvSpPr>
      <dsp:spPr>
        <a:xfrm>
          <a:off x="889" y="2005383"/>
          <a:ext cx="2257782" cy="922469"/>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t>6. Evenements possibles </a:t>
          </a:r>
          <a:r>
            <a:rPr lang="fr-FR" sz="1000" kern="1200"/>
            <a:t/>
          </a:r>
          <a:br>
            <a:rPr lang="fr-FR" sz="1000" kern="1200"/>
          </a:br>
          <a:r>
            <a:rPr lang="fr-FR" sz="1000" b="0" kern="1200"/>
            <a:t>Substitution du collatéral, re-pricing, OST, prolongation du terme (rollover)</a:t>
          </a:r>
        </a:p>
      </dsp:txBody>
      <dsp:txXfrm>
        <a:off x="27907" y="2032401"/>
        <a:ext cx="2203746" cy="8684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821DB-B136-465E-8458-9E68B23564A3}">
      <dsp:nvSpPr>
        <dsp:cNvPr id="0" name=""/>
        <dsp:cNvSpPr/>
      </dsp:nvSpPr>
      <dsp:spPr>
        <a:xfrm>
          <a:off x="284801" y="80765"/>
          <a:ext cx="1611120" cy="9994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t>1. Recontre des besoins </a:t>
          </a:r>
          <a:br>
            <a:rPr lang="fr-FR" sz="1200" b="1" kern="1200"/>
          </a:br>
          <a:r>
            <a:rPr lang="fr-FR" sz="1000" b="0" kern="1200"/>
            <a:t> Emprunteur : Besoin d'une valeur particulière</a:t>
          </a:r>
          <a:br>
            <a:rPr lang="fr-FR" sz="1000" b="0" kern="1200"/>
          </a:br>
          <a:r>
            <a:rPr lang="fr-FR" sz="1000" b="0" kern="1200"/>
            <a:t>Prêteur : Veut placer ses actifs en prêt</a:t>
          </a:r>
        </a:p>
      </dsp:txBody>
      <dsp:txXfrm>
        <a:off x="314073" y="110037"/>
        <a:ext cx="1552576" cy="940865"/>
      </dsp:txXfrm>
    </dsp:sp>
    <dsp:sp modelId="{FDFFCB54-8FC3-424B-ADA2-A0002F3F59BB}">
      <dsp:nvSpPr>
        <dsp:cNvPr id="0" name=""/>
        <dsp:cNvSpPr/>
      </dsp:nvSpPr>
      <dsp:spPr>
        <a:xfrm rot="21582815">
          <a:off x="1988212" y="522148"/>
          <a:ext cx="222343" cy="106554"/>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1988212" y="543539"/>
        <a:ext cx="190377" cy="63932"/>
      </dsp:txXfrm>
    </dsp:sp>
    <dsp:sp modelId="{64B14204-A4F3-4B96-92AF-223070CCBA28}">
      <dsp:nvSpPr>
        <dsp:cNvPr id="0" name=""/>
        <dsp:cNvSpPr/>
      </dsp:nvSpPr>
      <dsp:spPr>
        <a:xfrm>
          <a:off x="2315431" y="69789"/>
          <a:ext cx="1360813" cy="1002309"/>
        </a:xfrm>
        <a:prstGeom prst="roundRect">
          <a:avLst>
            <a:gd name="adj" fmla="val 10000"/>
          </a:avLst>
        </a:prstGeom>
        <a:solidFill>
          <a:schemeClr val="accent3">
            <a:hueOff val="301178"/>
            <a:satOff val="11111"/>
            <a:lumOff val="-163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t>2. Négociation des conditions </a:t>
          </a:r>
          <a:r>
            <a:rPr lang="fr-FR" sz="1000" kern="1200"/>
            <a:t/>
          </a:r>
          <a:br>
            <a:rPr lang="fr-FR" sz="1000" kern="1200"/>
          </a:br>
          <a:r>
            <a:rPr lang="fr-FR" sz="1000" b="0" kern="1200"/>
            <a:t>Quantité de titres, nature collatéral, durée, taux</a:t>
          </a:r>
        </a:p>
      </dsp:txBody>
      <dsp:txXfrm>
        <a:off x="2344788" y="99146"/>
        <a:ext cx="1302099" cy="943595"/>
      </dsp:txXfrm>
    </dsp:sp>
    <dsp:sp modelId="{BFC46EAC-5AB8-4964-B490-9733B2001E2D}">
      <dsp:nvSpPr>
        <dsp:cNvPr id="0" name=""/>
        <dsp:cNvSpPr/>
      </dsp:nvSpPr>
      <dsp:spPr>
        <a:xfrm>
          <a:off x="3714054" y="517667"/>
          <a:ext cx="91086" cy="106554"/>
        </a:xfrm>
        <a:prstGeom prst="rightArrow">
          <a:avLst>
            <a:gd name="adj1" fmla="val 60000"/>
            <a:gd name="adj2" fmla="val 50000"/>
          </a:avLst>
        </a:prstGeom>
        <a:solidFill>
          <a:schemeClr val="accent3">
            <a:hueOff val="338825"/>
            <a:satOff val="12500"/>
            <a:lumOff val="-183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3714054" y="538978"/>
        <a:ext cx="63760" cy="63932"/>
      </dsp:txXfrm>
    </dsp:sp>
    <dsp:sp modelId="{0D74A67F-8721-4588-81B2-98C44E0BCEF5}">
      <dsp:nvSpPr>
        <dsp:cNvPr id="0" name=""/>
        <dsp:cNvSpPr/>
      </dsp:nvSpPr>
      <dsp:spPr>
        <a:xfrm>
          <a:off x="3848106" y="386"/>
          <a:ext cx="1447620" cy="1141115"/>
        </a:xfrm>
        <a:prstGeom prst="roundRect">
          <a:avLst>
            <a:gd name="adj" fmla="val 10000"/>
          </a:avLst>
        </a:prstGeom>
        <a:solidFill>
          <a:schemeClr val="accent3">
            <a:hueOff val="602355"/>
            <a:satOff val="22222"/>
            <a:lumOff val="-3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t>3. Confirmation de transaction d'achat </a:t>
          </a:r>
          <a:r>
            <a:rPr lang="fr-FR" sz="1000" kern="1200"/>
            <a:t/>
          </a:r>
          <a:br>
            <a:rPr lang="fr-FR" sz="1000" kern="1200"/>
          </a:br>
          <a:r>
            <a:rPr lang="fr-FR" sz="1000" b="0" kern="1200"/>
            <a:t>Echange des infos sur le trade et les conditions de settlement (trade date, value date, PSET, taux, haircut, etc)</a:t>
          </a:r>
        </a:p>
      </dsp:txBody>
      <dsp:txXfrm>
        <a:off x="3881528" y="33808"/>
        <a:ext cx="1380776" cy="1074271"/>
      </dsp:txXfrm>
    </dsp:sp>
    <dsp:sp modelId="{FCBA8C98-8753-45D8-8960-E1F8197899EC}">
      <dsp:nvSpPr>
        <dsp:cNvPr id="0" name=""/>
        <dsp:cNvSpPr/>
      </dsp:nvSpPr>
      <dsp:spPr>
        <a:xfrm>
          <a:off x="5333536" y="517667"/>
          <a:ext cx="91086" cy="106554"/>
        </a:xfrm>
        <a:prstGeom prst="rightArrow">
          <a:avLst>
            <a:gd name="adj1" fmla="val 60000"/>
            <a:gd name="adj2" fmla="val 50000"/>
          </a:avLst>
        </a:prstGeom>
        <a:solidFill>
          <a:schemeClr val="accent3">
            <a:hueOff val="677650"/>
            <a:satOff val="25000"/>
            <a:lumOff val="-367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5333536" y="538978"/>
        <a:ext cx="63760" cy="63932"/>
      </dsp:txXfrm>
    </dsp:sp>
    <dsp:sp modelId="{DC32DF0B-4793-4512-AA6D-3A8F1D1E8A86}">
      <dsp:nvSpPr>
        <dsp:cNvPr id="0" name=""/>
        <dsp:cNvSpPr/>
      </dsp:nvSpPr>
      <dsp:spPr>
        <a:xfrm>
          <a:off x="5467588" y="82100"/>
          <a:ext cx="1752361" cy="977688"/>
        </a:xfrm>
        <a:prstGeom prst="roundRect">
          <a:avLst>
            <a:gd name="adj" fmla="val 10000"/>
          </a:avLst>
        </a:prstGeom>
        <a:solidFill>
          <a:schemeClr val="accent3">
            <a:hueOff val="903533"/>
            <a:satOff val="33333"/>
            <a:lumOff val="-4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t>4. Livraison du collatéral</a:t>
          </a:r>
          <a:br>
            <a:rPr lang="fr-FR" sz="1200" b="1" kern="1200"/>
          </a:br>
          <a:r>
            <a:rPr lang="fr-FR" sz="1000" b="0" kern="1200"/>
            <a:t>Emprunteur livre le collatéral (ex: 105% valeur du prêt). Si pré-collat : livré avant les titres</a:t>
          </a:r>
          <a:endParaRPr lang="fr-FR" sz="1200" kern="1200"/>
        </a:p>
      </dsp:txBody>
      <dsp:txXfrm>
        <a:off x="5496224" y="110736"/>
        <a:ext cx="1695089" cy="920416"/>
      </dsp:txXfrm>
    </dsp:sp>
    <dsp:sp modelId="{8E12990E-F7DF-417E-96B3-FF2FB1B2AA23}">
      <dsp:nvSpPr>
        <dsp:cNvPr id="0" name=""/>
        <dsp:cNvSpPr/>
      </dsp:nvSpPr>
      <dsp:spPr>
        <a:xfrm rot="4915693">
          <a:off x="6353901" y="1150874"/>
          <a:ext cx="159336" cy="106554"/>
        </a:xfrm>
        <a:prstGeom prst="rightArrow">
          <a:avLst>
            <a:gd name="adj1" fmla="val 60000"/>
            <a:gd name="adj2" fmla="val 50000"/>
          </a:avLst>
        </a:prstGeom>
        <a:solidFill>
          <a:schemeClr val="accent3">
            <a:hueOff val="1016475"/>
            <a:satOff val="37500"/>
            <a:lumOff val="-55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FR" sz="900" kern="1200"/>
        </a:p>
      </dsp:txBody>
      <dsp:txXfrm rot="-5400000">
        <a:off x="6399359" y="1124641"/>
        <a:ext cx="63932" cy="127370"/>
      </dsp:txXfrm>
    </dsp:sp>
    <dsp:sp modelId="{AFCBB05B-3E60-472E-9B17-D64483F28C4E}">
      <dsp:nvSpPr>
        <dsp:cNvPr id="0" name=""/>
        <dsp:cNvSpPr/>
      </dsp:nvSpPr>
      <dsp:spPr>
        <a:xfrm>
          <a:off x="5819410" y="1357445"/>
          <a:ext cx="1400538" cy="907787"/>
        </a:xfrm>
        <a:prstGeom prst="roundRect">
          <a:avLst>
            <a:gd name="adj" fmla="val 10000"/>
          </a:avLst>
        </a:prstGeom>
        <a:solidFill>
          <a:schemeClr val="accent3">
            <a:hueOff val="1204711"/>
            <a:satOff val="44444"/>
            <a:lumOff val="-653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t>4 Bis. Livraison des titres</a:t>
          </a:r>
          <a:r>
            <a:rPr lang="fr-FR" sz="1000" kern="1200"/>
            <a:t/>
          </a:r>
          <a:br>
            <a:rPr lang="fr-FR" sz="1000" kern="1200"/>
          </a:br>
          <a:r>
            <a:rPr lang="fr-FR" sz="1000" b="0" kern="1200"/>
            <a:t>Livraison prêteur -&gt; Emprunteur via banques dépositaires</a:t>
          </a:r>
        </a:p>
      </dsp:txBody>
      <dsp:txXfrm>
        <a:off x="5845998" y="1384033"/>
        <a:ext cx="1347362" cy="854611"/>
      </dsp:txXfrm>
    </dsp:sp>
    <dsp:sp modelId="{B3FF43B6-C6E1-4F76-89B6-01DB6E03CB62}">
      <dsp:nvSpPr>
        <dsp:cNvPr id="0" name=""/>
        <dsp:cNvSpPr/>
      </dsp:nvSpPr>
      <dsp:spPr>
        <a:xfrm rot="10822974">
          <a:off x="5686617" y="1752808"/>
          <a:ext cx="93841" cy="106554"/>
        </a:xfrm>
        <a:prstGeom prst="rightArrow">
          <a:avLst>
            <a:gd name="adj1" fmla="val 60000"/>
            <a:gd name="adj2" fmla="val 50000"/>
          </a:avLst>
        </a:prstGeom>
        <a:solidFill>
          <a:schemeClr val="accent3">
            <a:hueOff val="1355300"/>
            <a:satOff val="50000"/>
            <a:lumOff val="-7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rot="10800000">
        <a:off x="5714769" y="1774213"/>
        <a:ext cx="65689" cy="63932"/>
      </dsp:txXfrm>
    </dsp:sp>
    <dsp:sp modelId="{B459E1BA-4316-4F8A-B2E5-41D6F8F85519}">
      <dsp:nvSpPr>
        <dsp:cNvPr id="0" name=""/>
        <dsp:cNvSpPr/>
      </dsp:nvSpPr>
      <dsp:spPr>
        <a:xfrm>
          <a:off x="4287891" y="1302974"/>
          <a:ext cx="1354462" cy="995950"/>
        </a:xfrm>
        <a:prstGeom prst="roundRect">
          <a:avLst>
            <a:gd name="adj" fmla="val 10000"/>
          </a:avLst>
        </a:prstGeom>
        <a:solidFill>
          <a:schemeClr val="accent3">
            <a:hueOff val="1505888"/>
            <a:satOff val="55556"/>
            <a:lumOff val="-81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t>5. MtoM journalier</a:t>
          </a:r>
          <a:r>
            <a:rPr lang="fr-FR" sz="1000" kern="1200"/>
            <a:t/>
          </a:r>
          <a:br>
            <a:rPr lang="fr-FR" sz="1000" kern="1200"/>
          </a:br>
          <a:r>
            <a:rPr lang="fr-FR" sz="1000" kern="1200"/>
            <a:t>Evaluation journalière MtoM du prêteur et appels de marge si besoin </a:t>
          </a:r>
          <a:endParaRPr lang="fr-FR" sz="1000" b="0" kern="1200"/>
        </a:p>
      </dsp:txBody>
      <dsp:txXfrm>
        <a:off x="4317061" y="1332144"/>
        <a:ext cx="1296122" cy="937610"/>
      </dsp:txXfrm>
    </dsp:sp>
    <dsp:sp modelId="{9C6C2960-856F-4A0A-8BFD-1C62E2649B06}">
      <dsp:nvSpPr>
        <dsp:cNvPr id="0" name=""/>
        <dsp:cNvSpPr/>
      </dsp:nvSpPr>
      <dsp:spPr>
        <a:xfrm rot="10776983">
          <a:off x="4162890" y="1752748"/>
          <a:ext cx="88335" cy="106554"/>
        </a:xfrm>
        <a:prstGeom prst="rightArrow">
          <a:avLst>
            <a:gd name="adj1" fmla="val 60000"/>
            <a:gd name="adj2" fmla="val 50000"/>
          </a:avLst>
        </a:prstGeom>
        <a:solidFill>
          <a:schemeClr val="accent3">
            <a:hueOff val="1694124"/>
            <a:satOff val="62500"/>
            <a:lumOff val="-919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rot="10800000">
        <a:off x="4189390" y="1773970"/>
        <a:ext cx="61835" cy="63932"/>
      </dsp:txXfrm>
    </dsp:sp>
    <dsp:sp modelId="{F36BCFA9-4F8D-4C63-B225-9F57C294CE53}">
      <dsp:nvSpPr>
        <dsp:cNvPr id="0" name=""/>
        <dsp:cNvSpPr/>
      </dsp:nvSpPr>
      <dsp:spPr>
        <a:xfrm>
          <a:off x="2705742" y="1323380"/>
          <a:ext cx="1415482" cy="975916"/>
        </a:xfrm>
        <a:prstGeom prst="roundRect">
          <a:avLst>
            <a:gd name="adj" fmla="val 10000"/>
          </a:avLst>
        </a:prstGeom>
        <a:solidFill>
          <a:schemeClr val="accent3">
            <a:hueOff val="1807066"/>
            <a:satOff val="66667"/>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t>6. Evènements possibles</a:t>
          </a:r>
          <a:r>
            <a:rPr lang="fr-FR" sz="1100" b="1" kern="1200"/>
            <a:t/>
          </a:r>
          <a:br>
            <a:rPr lang="fr-FR" sz="1100" b="1" kern="1200"/>
          </a:br>
          <a:r>
            <a:rPr lang="fr-FR" sz="1000" b="0" kern="1200"/>
            <a:t>Substitution du collatéral, réévaluation du taux, re-pricing, OST, prolongation terme</a:t>
          </a:r>
        </a:p>
      </dsp:txBody>
      <dsp:txXfrm>
        <a:off x="2734326" y="1351964"/>
        <a:ext cx="1358314" cy="918748"/>
      </dsp:txXfrm>
    </dsp:sp>
    <dsp:sp modelId="{EE32F813-E7D2-4C5D-9559-B157E06455B8}">
      <dsp:nvSpPr>
        <dsp:cNvPr id="0" name=""/>
        <dsp:cNvSpPr/>
      </dsp:nvSpPr>
      <dsp:spPr>
        <a:xfrm rot="10800000">
          <a:off x="2576846" y="1758061"/>
          <a:ext cx="91086" cy="106554"/>
        </a:xfrm>
        <a:prstGeom prst="rightArrow">
          <a:avLst>
            <a:gd name="adj1" fmla="val 60000"/>
            <a:gd name="adj2" fmla="val 50000"/>
          </a:avLst>
        </a:prstGeom>
        <a:solidFill>
          <a:schemeClr val="accent3">
            <a:hueOff val="2032949"/>
            <a:satOff val="75000"/>
            <a:lumOff val="-1102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rot="10800000">
        <a:off x="2604172" y="1779372"/>
        <a:ext cx="63760" cy="63932"/>
      </dsp:txXfrm>
    </dsp:sp>
    <dsp:sp modelId="{194C674F-0687-4E14-8C9B-298E5AD1BD17}">
      <dsp:nvSpPr>
        <dsp:cNvPr id="0" name=""/>
        <dsp:cNvSpPr/>
      </dsp:nvSpPr>
      <dsp:spPr>
        <a:xfrm>
          <a:off x="1338024" y="1336674"/>
          <a:ext cx="1195855" cy="949328"/>
        </a:xfrm>
        <a:prstGeom prst="roundRect">
          <a:avLst>
            <a:gd name="adj" fmla="val 10000"/>
          </a:avLst>
        </a:prstGeom>
        <a:solidFill>
          <a:schemeClr val="accent3">
            <a:hueOff val="2108244"/>
            <a:satOff val="77778"/>
            <a:lumOff val="-114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t>7. Retour des titres </a:t>
          </a:r>
          <a:r>
            <a:rPr lang="fr-FR" sz="1600" kern="1200"/>
            <a:t/>
          </a:r>
          <a:br>
            <a:rPr lang="fr-FR" sz="1600" kern="1200"/>
          </a:br>
          <a:r>
            <a:rPr lang="fr-FR" sz="1100" b="0" kern="1200"/>
            <a:t>Terme ou recall</a:t>
          </a:r>
        </a:p>
      </dsp:txBody>
      <dsp:txXfrm>
        <a:off x="1365829" y="1364479"/>
        <a:ext cx="1140245" cy="893718"/>
      </dsp:txXfrm>
    </dsp:sp>
    <dsp:sp modelId="{7FA8D8AD-D211-4D08-8EFE-8D767D250A1D}">
      <dsp:nvSpPr>
        <dsp:cNvPr id="0" name=""/>
        <dsp:cNvSpPr/>
      </dsp:nvSpPr>
      <dsp:spPr>
        <a:xfrm rot="10800000">
          <a:off x="1209128" y="1758061"/>
          <a:ext cx="91086" cy="106554"/>
        </a:xfrm>
        <a:prstGeom prst="rightArrow">
          <a:avLst>
            <a:gd name="adj1" fmla="val 60000"/>
            <a:gd name="adj2" fmla="val 50000"/>
          </a:avLst>
        </a:prstGeom>
        <a:solidFill>
          <a:schemeClr val="accent3">
            <a:hueOff val="2371774"/>
            <a:satOff val="87500"/>
            <a:lumOff val="-1286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rot="10800000">
        <a:off x="1236454" y="1779372"/>
        <a:ext cx="63760" cy="63932"/>
      </dsp:txXfrm>
    </dsp:sp>
    <dsp:sp modelId="{AAB16B44-1E66-4285-888C-CA12D26760C5}">
      <dsp:nvSpPr>
        <dsp:cNvPr id="0" name=""/>
        <dsp:cNvSpPr/>
      </dsp:nvSpPr>
      <dsp:spPr>
        <a:xfrm>
          <a:off x="0" y="1355725"/>
          <a:ext cx="1166162" cy="911226"/>
        </a:xfrm>
        <a:prstGeom prst="roundRect">
          <a:avLst>
            <a:gd name="adj" fmla="val 10000"/>
          </a:avLst>
        </a:prstGeom>
        <a:solidFill>
          <a:schemeClr val="accent3">
            <a:hueOff val="2409421"/>
            <a:satOff val="88889"/>
            <a:lumOff val="-1307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t>7 Bis. Retour du collatéral </a:t>
          </a:r>
          <a:r>
            <a:rPr lang="fr-FR" sz="900" kern="1200"/>
            <a:t/>
          </a:r>
          <a:br>
            <a:rPr lang="fr-FR" sz="900" kern="1200"/>
          </a:br>
          <a:r>
            <a:rPr lang="fr-FR" sz="1000" b="0" kern="1200"/>
            <a:t>Terme</a:t>
          </a:r>
        </a:p>
      </dsp:txBody>
      <dsp:txXfrm>
        <a:off x="26689" y="1382414"/>
        <a:ext cx="1112784" cy="857848"/>
      </dsp:txXfrm>
    </dsp:sp>
    <dsp:sp modelId="{6343C01F-8958-4D60-A1A2-B2E36A95ACDD}">
      <dsp:nvSpPr>
        <dsp:cNvPr id="0" name=""/>
        <dsp:cNvSpPr/>
      </dsp:nvSpPr>
      <dsp:spPr>
        <a:xfrm rot="4636916">
          <a:off x="651161" y="2317573"/>
          <a:ext cx="116394" cy="106554"/>
        </a:xfrm>
        <a:prstGeom prst="righ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rot="-5400000">
        <a:off x="673873" y="2313045"/>
        <a:ext cx="63932" cy="84428"/>
      </dsp:txXfrm>
    </dsp:sp>
    <dsp:sp modelId="{DE358AD4-99E9-4037-B5AD-25618C38BE01}">
      <dsp:nvSpPr>
        <dsp:cNvPr id="0" name=""/>
        <dsp:cNvSpPr/>
      </dsp:nvSpPr>
      <dsp:spPr>
        <a:xfrm>
          <a:off x="0" y="2481175"/>
          <a:ext cx="1613552" cy="642637"/>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t>8. Paiement des commissions</a:t>
          </a:r>
          <a:r>
            <a:rPr lang="fr-FR" sz="900" kern="1200"/>
            <a:t/>
          </a:r>
          <a:br>
            <a:rPr lang="fr-FR" sz="900" kern="1200"/>
          </a:br>
          <a:r>
            <a:rPr lang="fr-FR" sz="1000" b="0" kern="1200"/>
            <a:t>Terme</a:t>
          </a:r>
        </a:p>
      </dsp:txBody>
      <dsp:txXfrm>
        <a:off x="18822" y="2499997"/>
        <a:ext cx="1575908" cy="60499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2009</Words>
  <Characters>11050</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SILCA</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Martino, Ophelie</dc:creator>
  <cp:keywords/>
  <dc:description/>
  <cp:lastModifiedBy>Martino, Ophelie</cp:lastModifiedBy>
  <cp:revision>8</cp:revision>
  <dcterms:created xsi:type="dcterms:W3CDTF">2021-04-18T23:51:00Z</dcterms:created>
  <dcterms:modified xsi:type="dcterms:W3CDTF">2021-04-19T09:00:00Z</dcterms:modified>
</cp:coreProperties>
</file>