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Table 3. </w:t>
      </w:r>
      <w:r>
        <w:rPr>
          <w:sz w:val="18"/>
        </w:rPr>
        <w:t>Simulation and validation protocol.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Item</w:t>
            </w:r>
          </w:p>
        </w:tc>
        <w:tc>
          <w:tcPr>
            <w:tcW w:type="dxa" w:w="707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Setting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Simulator domains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Behavioral discrete-time model; ngspice per-sample netlist of the same circuit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Dataset seeds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20261026, 20261027, 20261028 (3 seeds, unseen before the protocol freeze)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Conditions per seed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350 operating conditions × 9 fault classes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Train / validation / test split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222 / 40 / 88 conditions per seed; overlap 0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Test records per test cell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792 (88 conditions × 9 classes)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Edge phases ψ (test)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0, 0.25, 0.5, 0.75, 0.999 (5 phases); training ψ ~ U[0,1) for randomized arms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Reference amplitudes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Behavioral ×0.8, ×0.9, ×1, ×1.1, ×1.2; ngspice ×0.8, ×1, ×1.2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Monitor gain-error bound E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0%, ±1%, ±2%, ±5% (matched training) and known reference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Component tolerances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AFE gain ±5%, AFE tau ±10%, ADC gain ±2%, ADC offset ±10 mV, sensor baseline ±5% (uniform per sample)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Noise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ADC noise 2.5 mV rms; ngspice adds 0.5 mV rms amplifier-input noise and 0.5 mV rms on each reference rail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Quantization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12-bit ADC over 0-3.3 V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ngspice runs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13,878 per seed; 41,634 in total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Initializations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Two initialization seeds per model, averaged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Primary metric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Layer macro-F1 (4 classes); also fault macro-F1 (9 classes), balanced accuracy, per-class recall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Statistics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Paired condition-level cluster bootstrap, 5000 resamples per seed; pooled CI of the mean of the three per-seed differences</w:t>
            </w:r>
          </w:p>
        </w:tc>
      </w:tr>
      <w:tr>
        <w:tc>
          <w:tcPr>
            <w:tcW w:type="dxa" w:w="707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Pre-registration</w:t>
            </w:r>
          </w:p>
        </w:tc>
        <w:tc>
          <w:tcPr>
            <w:tcW w:type="dxa" w:w="707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Protocol, descriptors, arms, thresholds and decision rule frozen before validation data (source hashes recorded)</w:t>
            </w:r>
          </w:p>
        </w:tc>
      </w:tr>
    </w:tbl>
    <w:p>
      <w:r>
        <w:rPr>
          <w:i/>
          <w:sz w:val="14"/>
        </w:rPr>
        <w:t>Sources: seed_*/meta.json, PROTOCOL_PHASE_ROBUST_FROZEN.md, paper_package/PAPER_TABLES.csv (T1).</w:t>
      </w:r>
    </w:p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