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4. </w:t>
      </w:r>
      <w:r>
        <w:rPr>
          <w:sz w:val="18"/>
        </w:rPr>
        <w:t>Main classification results of the primary (PRr) and secondary (PRrM) methods.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Role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Domain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 macro-F1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 balanced acc.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Fault macro-F1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Fault balanced acc.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Primary (pre-registered)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0.656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0.660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0.668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0.670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Primary (pre-registered)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0.654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0.662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0.665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Secondary (mixed-domain training)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0.672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0.674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0.675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0.676</w:t>
            </w:r>
          </w:p>
        </w:tc>
      </w:tr>
      <w:tr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Secondary (mixed-domain training)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0.666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0.671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0.673</w:t>
            </w:r>
          </w:p>
        </w:tc>
      </w:tr>
    </w:tbl>
    <w:p>
      <w:r>
        <w:rPr>
          <w:i/>
          <w:sz w:val="14"/>
        </w:rPr>
        <w:t>Monitor E = ±2%, pooled over amplitudes (behavioral ×0.8–×1.2; ngspice ×0.8, ×1.0, ×1.2) and the five phases; mean of 3 dataset seeds × 2 initializations. The behavioral and ngspice rows use different amplitude grids and must not be subtracted; the matched-grid transfer comparison is in Table 9. Nominal reference value N (known reference, ×1.0, pooled over phases): 0.659 behavioral, 0.660 ngspice. Source: attribution_arms.csv; decision_rules.json (N).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