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8"/>
        </w:rPr>
        <w:t xml:space="preserve">Table 6. </w:t>
      </w:r>
      <w:r>
        <w:rPr>
          <w:sz w:val="18"/>
        </w:rPr>
        <w:t>Baseline comparison (layer macro-F1, behavioral domain).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235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Layer macro-F1 ×0.8</w:t>
            </w:r>
          </w:p>
        </w:tc>
        <w:tc>
          <w:tcPr>
            <w:tcW w:type="dxa" w:w="235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Layer macro-F1 ×1.2</w:t>
            </w:r>
          </w:p>
        </w:tc>
        <w:tc>
          <w:tcPr>
            <w:tcW w:type="dxa" w:w="235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PRr − method ×0.8 [95% CI]</w:t>
            </w:r>
          </w:p>
        </w:tc>
        <w:tc>
          <w:tcPr>
            <w:tcW w:type="dxa" w:w="235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PRr − method ×1.2 [95% CI]</w:t>
            </w:r>
          </w:p>
        </w:tc>
        <w:tc>
          <w:tcPr>
            <w:tcW w:type="dxa" w:w="2357"/>
            <w:tcBorders>
              <w:top w:val="single" w:sz="12" w:color="000000"/>
              <w:bottom w:val="single" w:sz="6" w:color="000000"/>
            </w:tcBorders>
          </w:tcPr>
          <w:p>
            <w:r/>
            <w:r>
              <w:rPr>
                <w:b/>
                <w:sz w:val="15"/>
              </w:rPr>
              <w:t>PRr − method, E = ±2% pooled [95% CI]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Passive (sensor signal only), old descriptors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0.259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0.259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+0.356 [+0.341, +0.371]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+0.384 [+0.368, +0.400]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Single-probe active test, old descriptors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0.349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0.396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+0.266 [+0.250, +0.282]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+0.246 [+0.230, +0.261]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AFE-only reference, old descriptors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0.320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0.295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+0.295 [+0.280, +0.311]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+0.348 [+0.329, +0.366]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ADC-only reference, old descriptors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0.120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0.122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+0.495 [+0.482, +0.508]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+0.521 [+0.507, +0.534]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A0: two-point, old descriptors (previous method)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0.140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0.121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+0.475 [+0.461, +0.489]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+0.521 [+0.507, +0.535]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+0.375 [+0.363, +0.387]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AFE-only reference, PRr descriptors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0.473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0.516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+0.142 [+0.128, +0.155]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+0.126 [+0.112, +0.140]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ADC-only reference, PRr descriptors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0.455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0.452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+0.160 [+0.144, +0.175]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+0.190 [+0.176, +0.206]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R1: Revision-1 fixed-sample descriptors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0.578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0.593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+0.042 [+0.034, +0.050]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R1r: R1 + phase-randomized training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0.626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0.634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+0.012 [+0.004, +0.019]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PR: phase-robust descriptors, ψ = 0 training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0.612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0.635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+0.000 [-0.005, +0.006]</w:t>
            </w:r>
          </w:p>
        </w:tc>
      </w:tr>
      <w:tr>
        <w:tc>
          <w:tcPr>
            <w:tcW w:type="dxa" w:w="2357"/>
          </w:tcPr>
          <w:p>
            <w:r/>
            <w:r>
              <w:rPr>
                <w:sz w:val="15"/>
              </w:rPr>
              <w:t>PRr: proposed (primary)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0.615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0.643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357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35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PRrM: PRr + mixed-domain training (secondary)</w:t>
            </w:r>
          </w:p>
        </w:tc>
        <w:tc>
          <w:tcPr>
            <w:tcW w:type="dxa" w:w="235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0.660</w:t>
            </w:r>
          </w:p>
        </w:tc>
        <w:tc>
          <w:tcPr>
            <w:tcW w:type="dxa" w:w="235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0.670</w:t>
            </w:r>
          </w:p>
        </w:tc>
        <w:tc>
          <w:tcPr>
            <w:tcW w:type="dxa" w:w="235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35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357"/>
            <w:tcBorders>
              <w:bottom w:val="single" w:sz="12" w:color="000000"/>
            </w:tcBorders>
          </w:tcPr>
          <w:p>
            <w:r/>
            <w:r>
              <w:rPr>
                <w:sz w:val="15"/>
              </w:rPr>
              <w:t>-0.017 [-0.025, -0.008]</w:t>
            </w:r>
          </w:p>
        </w:tc>
      </w:tr>
    </w:tbl>
    <w:p>
      <w:r>
        <w:rPr>
          <w:i/>
          <w:sz w:val="14"/>
        </w:rPr>
        <w:t>Behavioral domain, known reference, pooled over the five phases. Absolute layer macro-F1 values are computed from the saved per-sample predictions (they are not stored in a summary file); for every baseline the difference PRr − method equals the saved paired difference in decision_rules.json (B) to within 1e-9. Paired differences and CIs: decision_rules.json (B) and attribution_comparisons.csv; PRr − PRrM is the sign-reversed PRrM − PRr comparison (CI bounds reversed accordingly).</w:t>
      </w:r>
    </w:p>
    <w:p/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alatino Linotype" w:hAnsi="Palatino Linotyp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