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8"/>
        </w:rPr>
        <w:t xml:space="preserve">Table 7. </w:t>
      </w:r>
      <w:r>
        <w:rPr>
          <w:sz w:val="18"/>
        </w:rPr>
        <w:t>Reference-monitor robustness: layer macro-F1 versus actual reference amplitude.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Reference condition</w:t>
            </w:r>
          </w:p>
        </w:tc>
        <w:tc>
          <w:tcPr>
            <w:tcW w:type="dxa" w:w="1571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Behavioral ×0.8</w:t>
            </w:r>
          </w:p>
        </w:tc>
        <w:tc>
          <w:tcPr>
            <w:tcW w:type="dxa" w:w="1571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Behavioral ×0.9</w:t>
            </w:r>
          </w:p>
        </w:tc>
        <w:tc>
          <w:tcPr>
            <w:tcW w:type="dxa" w:w="1571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Behavioral ×1.0</w:t>
            </w:r>
          </w:p>
        </w:tc>
        <w:tc>
          <w:tcPr>
            <w:tcW w:type="dxa" w:w="1571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Behavioral ×1.1</w:t>
            </w:r>
          </w:p>
        </w:tc>
        <w:tc>
          <w:tcPr>
            <w:tcW w:type="dxa" w:w="1571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Behavioral ×1.2</w:t>
            </w:r>
          </w:p>
        </w:tc>
        <w:tc>
          <w:tcPr>
            <w:tcW w:type="dxa" w:w="1571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ngspice ×0.8</w:t>
            </w:r>
          </w:p>
        </w:tc>
        <w:tc>
          <w:tcPr>
            <w:tcW w:type="dxa" w:w="1571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ngspice ×1.0</w:t>
            </w:r>
          </w:p>
        </w:tc>
        <w:tc>
          <w:tcPr>
            <w:tcW w:type="dxa" w:w="1571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ngspice ×1.2</w:t>
            </w:r>
          </w:p>
        </w:tc>
      </w:tr>
      <w:tr>
        <w:tc>
          <w:tcPr>
            <w:tcW w:type="dxa" w:w="1571"/>
          </w:tcPr>
          <w:p>
            <w:r/>
            <w:r>
              <w:rPr>
                <w:sz w:val="15"/>
              </w:rPr>
              <w:t>Known reference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0.615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0.645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0.658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0.667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0.642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0.616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0.660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0.642</w:t>
            </w:r>
          </w:p>
        </w:tc>
      </w:tr>
      <w:tr>
        <w:tc>
          <w:tcPr>
            <w:tcW w:type="dxa" w:w="1571"/>
          </w:tcPr>
          <w:p>
            <w:r/>
            <w:r>
              <w:rPr>
                <w:sz w:val="15"/>
              </w:rPr>
              <w:t>Monitor E = 0%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0.610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0.638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0.655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0.665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0.642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0.606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0.655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0.644</w:t>
            </w:r>
          </w:p>
        </w:tc>
      </w:tr>
      <w:tr>
        <w:tc>
          <w:tcPr>
            <w:tcW w:type="dxa" w:w="1571"/>
          </w:tcPr>
          <w:p>
            <w:r/>
            <w:r>
              <w:rPr>
                <w:sz w:val="15"/>
              </w:rPr>
              <w:t>Monitor E = ±1%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0.608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0.638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0.658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0.670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0.644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0.604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0.655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0.644</w:t>
            </w:r>
          </w:p>
        </w:tc>
      </w:tr>
      <w:tr>
        <w:tc>
          <w:tcPr>
            <w:tcW w:type="dxa" w:w="1571"/>
          </w:tcPr>
          <w:p>
            <w:r/>
            <w:r>
              <w:rPr>
                <w:sz w:val="15"/>
              </w:rPr>
              <w:t>Monitor E = ±2%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0.614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0.647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0.673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0.681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0.663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0.611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0.671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0.664</w:t>
            </w:r>
          </w:p>
        </w:tc>
      </w:tr>
      <w:tr>
        <w:tc>
          <w:tcPr>
            <w:tcW w:type="dxa" w:w="1571"/>
          </w:tcPr>
          <w:p>
            <w:r/>
            <w:r>
              <w:rPr>
                <w:sz w:val="15"/>
              </w:rPr>
              <w:t>Monitor E = ±5%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0.611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0.644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0.661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0.676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0.649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0.610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0.663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0.646</w:t>
            </w:r>
          </w:p>
        </w:tc>
      </w:tr>
      <w:tr>
        <w:tc>
          <w:tcPr>
            <w:tcW w:type="dxa" w:w="1571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No-monitor control (nominal levels assumed)</w:t>
            </w:r>
          </w:p>
        </w:tc>
        <w:tc>
          <w:tcPr>
            <w:tcW w:type="dxa" w:w="1571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0.310</w:t>
            </w:r>
          </w:p>
        </w:tc>
        <w:tc>
          <w:tcPr>
            <w:tcW w:type="dxa" w:w="1571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0.423</w:t>
            </w:r>
          </w:p>
        </w:tc>
        <w:tc>
          <w:tcPr>
            <w:tcW w:type="dxa" w:w="1571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0.659</w:t>
            </w:r>
          </w:p>
        </w:tc>
        <w:tc>
          <w:tcPr>
            <w:tcW w:type="dxa" w:w="1571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0.389</w:t>
            </w:r>
          </w:p>
        </w:tc>
        <w:tc>
          <w:tcPr>
            <w:tcW w:type="dxa" w:w="1571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0.237</w:t>
            </w:r>
          </w:p>
        </w:tc>
        <w:tc>
          <w:tcPr>
            <w:tcW w:type="dxa" w:w="1571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571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571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—</w:t>
            </w:r>
          </w:p>
        </w:tc>
      </w:tr>
    </w:tbl>
    <w:p>
      <w:r>
        <w:rPr>
          <w:i/>
          <w:sz w:val="14"/>
        </w:rPr>
        <w:t>PRr layer macro-F1 pooled over the five phases (mean of three seeds). Monitored variants are trained with the matching error bound E. The no-monitor control is the PRr known-reference classifier given the nominal levels; it was evaluated in the behavioral domain only. Retention relative to N: worst 0.916 at ±20% (known, E ≤ ±2%) and 0.924 at E = ±5%. Source: amplitude_curves.csv; no_monitor_control.json; decision_rules.json (A, D).</w:t>
      </w:r>
    </w:p>
    <w:p/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alatino Linotype" w:hAnsi="Palatino Linotyp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