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8. </w:t>
      </w:r>
      <w:r>
        <w:rPr>
          <w:sz w:val="18"/>
        </w:rPr>
        <w:t>Phase-robustness ablation: layer macro-F1 per edge phase.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Domain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Arm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ψ = 0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ψ = 0.25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ψ = 0.5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ψ = 0.75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ψ = 0.999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Range (max − min)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≤ 0.05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A0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0.279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0.279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0.281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0.281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0.282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0.003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R1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0.636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0.590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0.568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0.081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no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R1r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0.626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0.025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PR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0.004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0.006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0.010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R1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0.625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0.606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0.584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0.561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0.081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no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R1r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0.638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0.631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0.026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PR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0.007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0.010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0.667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0.665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0.664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0.659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0.658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0.009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yes</w:t>
            </w:r>
          </w:p>
        </w:tc>
      </w:tr>
    </w:tbl>
    <w:p>
      <w:r>
        <w:rPr>
          <w:i/>
          <w:sz w:val="14"/>
        </w:rPr>
        <w:t>Layer macro-F1 per edge phase, monitor E = ±2%, pooled over amplitudes; range computed as max − min of the five stored phase values. Gate G itself applies to PRr (known reference and E = ±2%; Table 5): PRr ranges 0.005 / 0.006 (behavioral known / E2) and 0.011 / 0.010 (ngspice). A0 was not simulated in ngspice; its flat profile reflects uniformly low accuracy. Source: attribution_arms.csv; decision_rules.json (G).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