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9. </w:t>
      </w:r>
      <w:r>
        <w:rPr>
          <w:sz w:val="18"/>
        </w:rPr>
        <w:t>Behavioral-to-ngspice domain transfer (layer macro-F1).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Reference condition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BB (PRr)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BS (PRr)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Transfer loss BB − BS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95% CI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≤ 0.10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MS (PRrM)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MS − BS [95% CI]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0.639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0.639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[-0.005, 0.004]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0.677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+0.038 [+0.029, +0.047]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0.636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0.635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[-0.003, 0.004]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0.675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+0.040 [+0.031, +0.050]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0.637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0.634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[-0.001, 0.006]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0.670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+0.036 [+0.027, +0.045]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0.650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[-0.003, 0.006]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+0.014 [+0.005, +0.024]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0.640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0.640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[-0.003, 0.005]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+0.015 [+0.006, +0.024]</w:t>
            </w:r>
          </w:p>
        </w:tc>
      </w:tr>
      <w:tr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Previous stage, E = ±2% (REVISE)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0.539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0.119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[0.107, 0.132]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FAIL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rPr>
          <w:i/>
          <w:sz w:val="14"/>
        </w:rPr>
        <w:t>Matched grid: ×0.8, ×1.0, ×1.2 × five phases in both domains. BB and BS use the same behavioral-trained PRr classifier; MS is the mixed-trained secondary variant PRrM. The pre-registered gate E uses E = ±2%. The previous-stage row is the failed earlier validation (reference_monitor_final), read from paper_package/NUMBER_PROVENANCE.csv because its decision file is not in the evidence package. Source: decision_rules.json (E).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