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12. </w:t>
      </w:r>
      <w:r>
        <w:rPr>
          <w:sz w:val="18"/>
        </w:rPr>
        <w:t>Model and computational complexity.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Quantity</w:t>
            </w:r>
          </w:p>
        </w:tc>
        <w:tc>
          <w:tcPr>
            <w:tcW w:type="dxa" w:w="471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Value</w:t>
            </w:r>
          </w:p>
        </w:tc>
        <w:tc>
          <w:tcPr>
            <w:tcW w:type="dxa" w:w="471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architecture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20–96–48 hidden layout; 20 inputs; ReLU; output 4 (layer) or 9 (fault)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PAPER_TABLES.csv T10; parameter count check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parameters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6,868 (layer head); 7,113 (fault head)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Multiply-accumulates per inference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6,720 (layer); 6,960 (fault)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derived from the architecture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inference time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0.68 µs per record (batched, Python, mean of 3 seeds)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Descriptor extraction time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Phase-robust 0.79 ms; Revision-1 0.47 ms per record (Python, 1 core)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training time (PRr models)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mean 0.72 s, max 1.49 s per model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seed_*/model_info.json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ngspice runs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13,878 per seed; 41,634 total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seed_*/meta.json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Validation runtime per seed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20261026: total 1175.6 s (ngspice wall 908.1 s, behavioral 707.7 s); 20261027: total 1179.0 s (ngspice wall 908.9 s, behavioral 708.5 s); 20261028: total 1179.1 s (ngspice wall 905.9 s, behavioral 703.8 s)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seed_*/meta.json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ngspice workers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3 parallel workers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Important assumptions</w:t>
            </w:r>
          </w:p>
        </w:tc>
        <w:tc>
          <w:tcPr>
            <w:tcW w:type="dxa" w:w="471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Timings are desktop Python (macOS arm64) measurements, not microcontroller measurements; no energy, power, area or hardware cost was measured</w:t>
            </w:r>
          </w:p>
        </w:tc>
        <w:tc>
          <w:tcPr>
            <w:tcW w:type="dxa" w:w="471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REPRODUCIBILITY_CHECKLIST.md (environment)</w:t>
            </w:r>
          </w:p>
        </w:tc>
      </w:tr>
    </w:tbl>
    <w:p>
      <w:r>
        <w:rPr>
          <w:i/>
          <w:sz w:val="14"/>
        </w:rPr>
        <w:t>No embedded-target timing or energy figure exists in the evidence package; none is claimed.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