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40"/>
        </w:rPr>
        <w:t>MLP Meta-Gate with Few-Shot Bayesian Calibration</w:t>
      </w:r>
    </w:p>
    <w:p>
      <w:pPr>
        <w:jc w:val="center"/>
      </w:pPr>
      <w:r>
        <w:rPr>
          <w:color w:val="555555"/>
          <w:sz w:val="28"/>
        </w:rPr>
        <w:t>Final Evaluation Report</w:t>
      </w:r>
    </w:p>
    <w:p>
      <w:pPr>
        <w:jc w:val="center"/>
      </w:pPr>
      <w:r>
        <w:rPr>
          <w:i/>
          <w:sz w:val="22"/>
        </w:rPr>
        <w:t>Architecture: 4-Expert Selection via MLP Gate with Per-Topology Bayesian Calibration</w:t>
        <w:br/>
        <w:t>Framing: Zero-Shot Gate Training + Few-Shot Calibration</w:t>
      </w:r>
    </w:p>
    <w:p/>
    <w:p>
      <w:pPr>
        <w:pStyle w:val="Heading1"/>
      </w:pPr>
      <w:r>
        <w:t>Abstract</w:t>
      </w:r>
    </w:p>
    <w:p>
      <w:r>
        <w:t>We present an MLP-based meta-gate that dynamically selects among four traffic engineering expert strategies (Bottleneck, Top-K by Demand, Sensitivity Analysis, and GNN-based selection) on a per-traffic-matrix basis. The gate is a 3-layer MLP (128-128-64-4) with BatchNorm and dropout, trained on pooled oracle labels from 6 known topologies. Germany50 and VtlWavenet2011 are held out entirely from gate-weight training.</w:t>
      </w:r>
    </w:p>
    <w:p>
      <w:r>
        <w:t>A lightweight few-shot Bayesian calibration phase adapts the gate to each target topology at deployment time by running 10 validation traffic matrices through all 4 experts, counting which expert achieves the lowest MLU, and fusing this topology-specific prior with the MLP softmax output. No gradient updates occur during calibration.</w:t>
      </w:r>
    </w:p>
    <w:p>
      <w:r>
        <w:t>This is not a pure zero-shot evaluation. The gate weights are zero-shot with respect to unseen topologies, but the calibration prior requires 10 topology-specific validation samples. We characterize this as zero-shot gate training with few-shot calibration.</w:t>
      </w:r>
    </w:p>
    <w:p>
      <w:r>
        <w:rPr>
          <w:b/>
        </w:rPr>
        <w:t xml:space="preserve">Key results: </w:t>
      </w:r>
      <w:r>
        <w:t>Germany50 (unseen): GNN selected 64% of timesteps, oracle gap +0.33%, accuracy 65.9%. Overall accuracy 60.3% across 8 topologies. Three topologies achieve +0.00% oracle gap (Abilene, GEANT, Ebone). Mean decision time 48.4 ms.</w:t>
      </w:r>
    </w:p>
    <w:p>
      <w:pPr>
        <w:pStyle w:val="Heading1"/>
      </w:pPr>
      <w:r>
        <w:t>1. Contributions</w:t>
      </w:r>
    </w:p>
    <w:p>
      <w:r>
        <w:rPr>
          <w:b/>
        </w:rPr>
        <w:t xml:space="preserve">1. </w:t>
      </w:r>
      <w:r>
        <w:t>Honest MLP Meta-Gate architecture: Replaces the previous false 'GNN-based meta-selector' (which was a static dictionary lookup) with a genuine 3-layer MLP classifier that makes per-timestep expert selection decisions based on 49 traffic and topology features.</w:t>
      </w:r>
    </w:p>
    <w:p>
      <w:r>
        <w:rPr>
          <w:b/>
        </w:rPr>
        <w:t xml:space="preserve">2. </w:t>
      </w:r>
      <w:r>
        <w:t>4-expert pool under fair comparison: Bottleneck, Top-K by Demand, Sensitivity Analysis, and GNN-based selection all operate with K_crit = 40 critical flows and are evaluated through the same LP optimization path.</w:t>
      </w:r>
    </w:p>
    <w:p>
      <w:r>
        <w:rPr>
          <w:b/>
        </w:rPr>
        <w:t xml:space="preserve">3. </w:t>
      </w:r>
      <w:r>
        <w:t>Unified gate training on known topologies only: One MLP gate trained on pooled data from 6 known topologies (~2,098 training samples). Germany50 and VtlWavenet2011 never appear during gate-weight training.</w:t>
      </w:r>
    </w:p>
    <w:p>
      <w:r>
        <w:rPr>
          <w:b/>
        </w:rPr>
        <w:t xml:space="preserve">4. </w:t>
      </w:r>
      <w:r>
        <w:t>Few-shot Bayesian calibration for deployment: A 10-sample calibration phase per topology builds a prior that fuses with MLP predictions, enabling the gate to detect when GNN is superior on unseen topologies without gradient updates.</w:t>
      </w:r>
    </w:p>
    <w:p>
      <w:r>
        <w:rPr>
          <w:b/>
        </w:rPr>
        <w:t xml:space="preserve">5. </w:t>
      </w:r>
      <w:r>
        <w:t>Per-component timing breakdown: Full end-to-end timing honesty (BN + TopK + Sens + GNN + Features + MLP + LP) reported per timestep.</w:t>
      </w:r>
    </w:p>
    <w:p>
      <w:r>
        <w:rPr>
          <w:b/>
        </w:rPr>
        <w:t xml:space="preserve">6. </w:t>
      </w:r>
      <w:r>
        <w:t>CERNET correction: Documented the true source (TopologyZoo, not SNDlib), 41 nodes with 59 bidirectional links (116 directed edges), and synthetic MGM traffic.</w:t>
      </w:r>
    </w:p>
    <w:p>
      <w:pPr>
        <w:pStyle w:val="Heading1"/>
      </w:pPr>
      <w:r>
        <w:t>2. Architecture</w:t>
      </w:r>
    </w:p>
    <w:p>
      <w:pPr>
        <w:pStyle w:val="Heading2"/>
      </w:pPr>
      <w:r>
        <w:t>2.1 Overview</w:t>
      </w:r>
    </w:p>
    <w:p>
      <w:r>
        <w:t>The system operates as follows per traffic matrix (TM):</w:t>
      </w:r>
    </w:p>
    <w:p>
      <w:pPr>
        <w:pStyle w:val="ListNumber"/>
      </w:pPr>
      <w:r>
        <w:t>Run all 4 experts (Bottleneck, TopK, Sensitivity, GNN) to produce 4 candidate OD-pair selections, each of size K_crit = 40.</w:t>
      </w:r>
    </w:p>
    <w:p>
      <w:pPr>
        <w:pStyle w:val="ListNumber"/>
      </w:pPr>
      <w:r>
        <w:t>Extract a 49-dimensional feature vector from the TM, expert outputs, GNN diagnostics, ECMP baseline, and topology metrics.</w:t>
      </w:r>
    </w:p>
    <w:p>
      <w:pPr>
        <w:pStyle w:val="ListNumber"/>
      </w:pPr>
      <w:r>
        <w:t>The MLP gate predicts which expert will achieve the lowest MLU.</w:t>
      </w:r>
    </w:p>
    <w:p>
      <w:pPr>
        <w:pStyle w:val="ListNumber"/>
      </w:pPr>
      <w:r>
        <w:t>If Bayesian calibration is active, fuse MLP softmax with topology-specific prior.</w:t>
      </w:r>
    </w:p>
    <w:p>
      <w:pPr>
        <w:pStyle w:val="ListNumber"/>
      </w:pPr>
      <w:r>
        <w:t>Route the predicted expert's selection through LP optimization to obtain the final MLU.</w:t>
      </w:r>
    </w:p>
    <w:p>
      <w:pPr>
        <w:pStyle w:val="Heading2"/>
      </w:pPr>
      <w:r>
        <w:t>2.2 MLP Gate Architecture</w:t>
      </w:r>
    </w:p>
    <w:p>
      <w:r>
        <w:t>3-layer MLP: Linear(49, 128) -&gt; BatchNorm -&gt; ReLU -&gt; Dropout(0.3) -&gt; Linear(128, 128) -&gt; BatchNorm -&gt; ReLU -&gt; Dropout(0.3) -&gt; Linear(128, 64) -&gt; ReLU -&gt; Linear(64, 4). Output: softmax over 4 expert classes {0=Bottleneck, 1=TopK, 2=Sensitivity, 3=GNN}.</w:t>
      </w:r>
    </w:p>
    <w:p>
      <w:pPr>
        <w:pStyle w:val="Heading2"/>
      </w:pPr>
      <w:r>
        <w:t>2.3 Feature Vector (49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pPr>
              <w:jc w:val="center"/>
            </w:pPr>
            <w:r/>
            <w:r>
              <w:rPr>
                <w:rFonts w:ascii="Arial" w:hAnsi="Arial"/>
                <w:b/>
                <w:sz w:val="20"/>
              </w:rPr>
              <w:t>Feature Group</w:t>
            </w:r>
          </w:p>
        </w:tc>
        <w:tc>
          <w:tcPr>
            <w:tcW w:type="dxa" w:w="720"/>
          </w:tcPr>
          <w:p>
            <w:pPr>
              <w:jc w:val="center"/>
            </w:pPr>
            <w:r/>
            <w:r>
              <w:rPr>
                <w:rFonts w:ascii="Arial" w:hAnsi="Arial"/>
                <w:b/>
                <w:sz w:val="20"/>
              </w:rPr>
              <w:t>Dims</w:t>
            </w:r>
          </w:p>
        </w:tc>
        <w:tc>
          <w:tcPr>
            <w:tcW w:type="dxa" w:w="6480"/>
          </w:tcPr>
          <w:p>
            <w:pPr>
              <w:jc w:val="center"/>
            </w:pPr>
            <w:r/>
            <w:r>
              <w:rPr>
                <w:rFonts w:ascii="Arial" w:hAnsi="Arial"/>
                <w:b/>
                <w:sz w:val="20"/>
              </w:rPr>
              <w:t>Description</w:t>
            </w:r>
          </w:p>
        </w:tc>
      </w:tr>
      <w:tr>
        <w:tc>
          <w:tcPr>
            <w:tcW w:type="dxa" w:w="2592"/>
          </w:tcPr>
          <w:p>
            <w:pPr>
              <w:jc w:val="center"/>
            </w:pPr>
            <w:r/>
            <w:r>
              <w:rPr>
                <w:rFonts w:ascii="Arial" w:hAnsi="Arial"/>
                <w:sz w:val="20"/>
              </w:rPr>
              <w:t>TM statistics (8)</w:t>
            </w:r>
          </w:p>
        </w:tc>
        <w:tc>
          <w:tcPr>
            <w:tcW w:type="dxa" w:w="720"/>
          </w:tcPr>
          <w:p>
            <w:pPr>
              <w:jc w:val="center"/>
            </w:pPr>
            <w:r/>
            <w:r>
              <w:rPr>
                <w:rFonts w:ascii="Arial" w:hAnsi="Arial"/>
                <w:sz w:val="20"/>
              </w:rPr>
              <w:t>8</w:t>
            </w:r>
          </w:p>
        </w:tc>
        <w:tc>
          <w:tcPr>
            <w:tcW w:type="dxa" w:w="6480"/>
          </w:tcPr>
          <w:p>
            <w:pPr>
              <w:jc w:val="center"/>
            </w:pPr>
            <w:r/>
            <w:r>
              <w:rPr>
                <w:rFonts w:ascii="Arial" w:hAnsi="Arial"/>
                <w:sz w:val="20"/>
              </w:rPr>
              <w:t>mean, std, max, min, skew, kurtosis, sparsity, entropy of the traffic matrix</w:t>
            </w:r>
          </w:p>
        </w:tc>
      </w:tr>
      <w:tr>
        <w:tc>
          <w:tcPr>
            <w:tcW w:type="dxa" w:w="2592"/>
          </w:tcPr>
          <w:p>
            <w:pPr>
              <w:jc w:val="center"/>
            </w:pPr>
            <w:r/>
            <w:r>
              <w:rPr>
                <w:rFonts w:ascii="Arial" w:hAnsi="Arial"/>
                <w:sz w:val="20"/>
              </w:rPr>
              <w:t>Per-expert demand stats (16)</w:t>
            </w:r>
          </w:p>
        </w:tc>
        <w:tc>
          <w:tcPr>
            <w:tcW w:type="dxa" w:w="720"/>
          </w:tcPr>
          <w:p>
            <w:pPr>
              <w:jc w:val="center"/>
            </w:pPr>
            <w:r/>
            <w:r>
              <w:rPr>
                <w:rFonts w:ascii="Arial" w:hAnsi="Arial"/>
                <w:sz w:val="20"/>
              </w:rPr>
              <w:t>16</w:t>
            </w:r>
          </w:p>
        </w:tc>
        <w:tc>
          <w:tcPr>
            <w:tcW w:type="dxa" w:w="6480"/>
          </w:tcPr>
          <w:p>
            <w:pPr>
              <w:jc w:val="center"/>
            </w:pPr>
            <w:r/>
            <w:r>
              <w:rPr>
                <w:rFonts w:ascii="Arial" w:hAnsi="Arial"/>
                <w:sz w:val="20"/>
              </w:rPr>
              <w:t>4 experts x {mean, std, max, sum} of selected OD demands</w:t>
            </w:r>
          </w:p>
        </w:tc>
      </w:tr>
      <w:tr>
        <w:tc>
          <w:tcPr>
            <w:tcW w:type="dxa" w:w="2592"/>
          </w:tcPr>
          <w:p>
            <w:pPr>
              <w:jc w:val="center"/>
            </w:pPr>
            <w:r/>
            <w:r>
              <w:rPr>
                <w:rFonts w:ascii="Arial" w:hAnsi="Arial"/>
                <w:sz w:val="20"/>
              </w:rPr>
              <w:t>Cross-expert overlaps (11)</w:t>
            </w:r>
          </w:p>
        </w:tc>
        <w:tc>
          <w:tcPr>
            <w:tcW w:type="dxa" w:w="720"/>
          </w:tcPr>
          <w:p>
            <w:pPr>
              <w:jc w:val="center"/>
            </w:pPr>
            <w:r/>
            <w:r>
              <w:rPr>
                <w:rFonts w:ascii="Arial" w:hAnsi="Arial"/>
                <w:sz w:val="20"/>
              </w:rPr>
              <w:t>11</w:t>
            </w:r>
          </w:p>
        </w:tc>
        <w:tc>
          <w:tcPr>
            <w:tcW w:type="dxa" w:w="6480"/>
          </w:tcPr>
          <w:p>
            <w:pPr>
              <w:jc w:val="center"/>
            </w:pPr>
            <w:r/>
            <w:r>
              <w:rPr>
                <w:rFonts w:ascii="Arial" w:hAnsi="Arial"/>
                <w:sz w:val="20"/>
              </w:rPr>
              <w:t>pairwise Jaccard overlaps between all 6 expert pairs + 5 expert-vs-ECMP overlaps</w:t>
            </w:r>
          </w:p>
        </w:tc>
      </w:tr>
      <w:tr>
        <w:tc>
          <w:tcPr>
            <w:tcW w:type="dxa" w:w="2592"/>
          </w:tcPr>
          <w:p>
            <w:pPr>
              <w:jc w:val="center"/>
            </w:pPr>
            <w:r/>
            <w:r>
              <w:rPr>
                <w:rFonts w:ascii="Arial" w:hAnsi="Arial"/>
                <w:sz w:val="20"/>
              </w:rPr>
              <w:t>Topology metrics (3)</w:t>
            </w:r>
          </w:p>
        </w:tc>
        <w:tc>
          <w:tcPr>
            <w:tcW w:type="dxa" w:w="720"/>
          </w:tcPr>
          <w:p>
            <w:pPr>
              <w:jc w:val="center"/>
            </w:pPr>
            <w:r/>
            <w:r>
              <w:rPr>
                <w:rFonts w:ascii="Arial" w:hAnsi="Arial"/>
                <w:sz w:val="20"/>
              </w:rPr>
              <w:t>3</w:t>
            </w:r>
          </w:p>
        </w:tc>
        <w:tc>
          <w:tcPr>
            <w:tcW w:type="dxa" w:w="6480"/>
          </w:tcPr>
          <w:p>
            <w:pPr>
              <w:jc w:val="center"/>
            </w:pPr>
            <w:r/>
            <w:r>
              <w:rPr>
                <w:rFonts w:ascii="Arial" w:hAnsi="Arial"/>
                <w:sz w:val="20"/>
              </w:rPr>
              <w:t>num_nodes, num_edges, edge_density</w:t>
            </w:r>
          </w:p>
        </w:tc>
      </w:tr>
      <w:tr>
        <w:tc>
          <w:tcPr>
            <w:tcW w:type="dxa" w:w="2592"/>
          </w:tcPr>
          <w:p>
            <w:pPr>
              <w:jc w:val="center"/>
            </w:pPr>
            <w:r/>
            <w:r>
              <w:rPr>
                <w:rFonts w:ascii="Arial" w:hAnsi="Arial"/>
                <w:sz w:val="20"/>
              </w:rPr>
              <w:t>GNN diagnostics (5)</w:t>
            </w:r>
          </w:p>
        </w:tc>
        <w:tc>
          <w:tcPr>
            <w:tcW w:type="dxa" w:w="720"/>
          </w:tcPr>
          <w:p>
            <w:pPr>
              <w:jc w:val="center"/>
            </w:pPr>
            <w:r/>
            <w:r>
              <w:rPr>
                <w:rFonts w:ascii="Arial" w:hAnsi="Arial"/>
                <w:sz w:val="20"/>
              </w:rPr>
              <w:t>5</w:t>
            </w:r>
          </w:p>
        </w:tc>
        <w:tc>
          <w:tcPr>
            <w:tcW w:type="dxa" w:w="6480"/>
          </w:tcPr>
          <w:p>
            <w:pPr>
              <w:jc w:val="center"/>
            </w:pPr>
            <w:r/>
            <w:r>
              <w:rPr>
                <w:rFonts w:ascii="Arial" w:hAnsi="Arial"/>
                <w:sz w:val="20"/>
              </w:rPr>
              <w:t>GNN confidence, selection entropy, demand concentration, coverage, edge utilization variance</w:t>
            </w:r>
          </w:p>
        </w:tc>
      </w:tr>
      <w:tr>
        <w:tc>
          <w:tcPr>
            <w:tcW w:type="dxa" w:w="2592"/>
          </w:tcPr>
          <w:p>
            <w:pPr>
              <w:jc w:val="center"/>
            </w:pPr>
            <w:r/>
            <w:r>
              <w:rPr>
                <w:rFonts w:ascii="Arial" w:hAnsi="Arial"/>
                <w:sz w:val="20"/>
              </w:rPr>
              <w:t>Demand shares (4)</w:t>
            </w:r>
          </w:p>
        </w:tc>
        <w:tc>
          <w:tcPr>
            <w:tcW w:type="dxa" w:w="720"/>
          </w:tcPr>
          <w:p>
            <w:pPr>
              <w:jc w:val="center"/>
            </w:pPr>
            <w:r/>
            <w:r>
              <w:rPr>
                <w:rFonts w:ascii="Arial" w:hAnsi="Arial"/>
                <w:sz w:val="20"/>
              </w:rPr>
              <w:t>4</w:t>
            </w:r>
          </w:p>
        </w:tc>
        <w:tc>
          <w:tcPr>
            <w:tcW w:type="dxa" w:w="6480"/>
          </w:tcPr>
          <w:p>
            <w:pPr>
              <w:jc w:val="center"/>
            </w:pPr>
            <w:r/>
            <w:r>
              <w:rPr>
                <w:rFonts w:ascii="Arial" w:hAnsi="Arial"/>
                <w:sz w:val="20"/>
              </w:rPr>
              <w:t>fraction of total demand captured by each expert's selection</w:t>
            </w:r>
          </w:p>
        </w:tc>
      </w:tr>
      <w:tr>
        <w:tc>
          <w:tcPr>
            <w:tcW w:type="dxa" w:w="2592"/>
          </w:tcPr>
          <w:p>
            <w:pPr>
              <w:jc w:val="center"/>
            </w:pPr>
            <w:r/>
            <w:r>
              <w:rPr>
                <w:rFonts w:ascii="Arial" w:hAnsi="Arial"/>
                <w:sz w:val="20"/>
              </w:rPr>
              <w:t>ECMP baseline (2)</w:t>
            </w:r>
          </w:p>
        </w:tc>
        <w:tc>
          <w:tcPr>
            <w:tcW w:type="dxa" w:w="720"/>
          </w:tcPr>
          <w:p>
            <w:pPr>
              <w:jc w:val="center"/>
            </w:pPr>
            <w:r/>
            <w:r>
              <w:rPr>
                <w:rFonts w:ascii="Arial" w:hAnsi="Arial"/>
                <w:sz w:val="20"/>
              </w:rPr>
              <w:t>2</w:t>
            </w:r>
          </w:p>
        </w:tc>
        <w:tc>
          <w:tcPr>
            <w:tcW w:type="dxa" w:w="6480"/>
          </w:tcPr>
          <w:p>
            <w:pPr>
              <w:jc w:val="center"/>
            </w:pPr>
            <w:r/>
            <w:r>
              <w:rPr>
                <w:rFonts w:ascii="Arial" w:hAnsi="Arial"/>
                <w:sz w:val="20"/>
              </w:rPr>
              <w:t>ECMP max link utilization, ECMP mean link utilization</w:t>
            </w:r>
          </w:p>
        </w:tc>
      </w:tr>
    </w:tbl>
    <w:p/>
    <w:p>
      <w:pPr>
        <w:pStyle w:val="Heading2"/>
      </w:pPr>
      <w:r>
        <w:t>2.4 Four Experts</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20"/>
              </w:rPr>
              <w:t>Expert</w:t>
            </w:r>
          </w:p>
        </w:tc>
        <w:tc>
          <w:tcPr>
            <w:tcW w:type="dxa" w:w="7632"/>
          </w:tcPr>
          <w:p>
            <w:pPr>
              <w:jc w:val="center"/>
            </w:pPr>
            <w:r/>
            <w:r>
              <w:rPr>
                <w:rFonts w:ascii="Arial" w:hAnsi="Arial"/>
                <w:b/>
                <w:sz w:val="20"/>
              </w:rPr>
              <w:t>Selection Strategy</w:t>
            </w:r>
          </w:p>
        </w:tc>
      </w:tr>
      <w:tr>
        <w:tc>
          <w:tcPr>
            <w:tcW w:type="dxa" w:w="2160"/>
          </w:tcPr>
          <w:p>
            <w:pPr>
              <w:jc w:val="center"/>
            </w:pPr>
            <w:r/>
            <w:r>
              <w:rPr>
                <w:rFonts w:ascii="Arial" w:hAnsi="Arial"/>
                <w:sz w:val="20"/>
              </w:rPr>
              <w:t>Bottleneck</w:t>
            </w:r>
          </w:p>
        </w:tc>
        <w:tc>
          <w:tcPr>
            <w:tcW w:type="dxa" w:w="7632"/>
          </w:tcPr>
          <w:p>
            <w:pPr>
              <w:jc w:val="center"/>
            </w:pPr>
            <w:r/>
            <w:r>
              <w:rPr>
                <w:rFonts w:ascii="Arial" w:hAnsi="Arial"/>
                <w:sz w:val="20"/>
              </w:rPr>
              <w:t>Selects K_crit OD pairs traversing the most-utilized link under ECMP routing</w:t>
            </w:r>
          </w:p>
        </w:tc>
      </w:tr>
      <w:tr>
        <w:tc>
          <w:tcPr>
            <w:tcW w:type="dxa" w:w="2160"/>
          </w:tcPr>
          <w:p>
            <w:pPr>
              <w:jc w:val="center"/>
            </w:pPr>
            <w:r/>
            <w:r>
              <w:rPr>
                <w:rFonts w:ascii="Arial" w:hAnsi="Arial"/>
                <w:sz w:val="20"/>
              </w:rPr>
              <w:t>Top-K by Demand</w:t>
            </w:r>
          </w:p>
        </w:tc>
        <w:tc>
          <w:tcPr>
            <w:tcW w:type="dxa" w:w="7632"/>
          </w:tcPr>
          <w:p>
            <w:pPr>
              <w:jc w:val="center"/>
            </w:pPr>
            <w:r/>
            <w:r>
              <w:rPr>
                <w:rFonts w:ascii="Arial" w:hAnsi="Arial"/>
                <w:sz w:val="20"/>
              </w:rPr>
              <w:t>Selects K_crit OD pairs with the highest traffic demand</w:t>
            </w:r>
          </w:p>
        </w:tc>
      </w:tr>
      <w:tr>
        <w:tc>
          <w:tcPr>
            <w:tcW w:type="dxa" w:w="2160"/>
          </w:tcPr>
          <w:p>
            <w:pPr>
              <w:jc w:val="center"/>
            </w:pPr>
            <w:r/>
            <w:r>
              <w:rPr>
                <w:rFonts w:ascii="Arial" w:hAnsi="Arial"/>
                <w:sz w:val="20"/>
              </w:rPr>
              <w:t>Sensitivity</w:t>
            </w:r>
          </w:p>
        </w:tc>
        <w:tc>
          <w:tcPr>
            <w:tcW w:type="dxa" w:w="7632"/>
          </w:tcPr>
          <w:p>
            <w:pPr>
              <w:jc w:val="center"/>
            </w:pPr>
            <w:r/>
            <w:r>
              <w:rPr>
                <w:rFonts w:ascii="Arial" w:hAnsi="Arial"/>
                <w:sz w:val="20"/>
              </w:rPr>
              <w:t>Selects K_crit OD pairs whose rerouting has the largest impact on max link utilization</w:t>
            </w:r>
          </w:p>
        </w:tc>
      </w:tr>
      <w:tr>
        <w:tc>
          <w:tcPr>
            <w:tcW w:type="dxa" w:w="2160"/>
          </w:tcPr>
          <w:p>
            <w:pPr>
              <w:jc w:val="center"/>
            </w:pPr>
            <w:r/>
            <w:r>
              <w:rPr>
                <w:rFonts w:ascii="Arial" w:hAnsi="Arial"/>
                <w:sz w:val="20"/>
              </w:rPr>
              <w:t>GNN (GraphSAGE)</w:t>
            </w:r>
          </w:p>
        </w:tc>
        <w:tc>
          <w:tcPr>
            <w:tcW w:type="dxa" w:w="7632"/>
          </w:tcPr>
          <w:p>
            <w:pPr>
              <w:jc w:val="center"/>
            </w:pPr>
            <w:r/>
            <w:r>
              <w:rPr>
                <w:rFonts w:ascii="Arial" w:hAnsi="Arial"/>
                <w:sz w:val="20"/>
              </w:rPr>
              <w:t>Learned flow selector using graph neural network; selects K_crit OD pairs based on learned node/edge embeddings</w:t>
            </w:r>
          </w:p>
        </w:tc>
      </w:tr>
    </w:tbl>
    <w:p/>
    <w:p>
      <w:r>
        <w:t>All 4 experts use K_crit = 40 critical flows and are evaluated through the same LP solver with identical ECMP base routing, path libraries, and capacity vectors.</w:t>
      </w:r>
    </w:p>
    <w:p>
      <w:pPr>
        <w:pStyle w:val="Heading1"/>
      </w:pPr>
      <w:r>
        <w:t>3. Training Details</w:t>
      </w:r>
    </w:p>
    <w:p>
      <w:pPr>
        <w:pStyle w:val="Heading2"/>
      </w:pPr>
      <w:r>
        <w:t>3.1 Training Data</w:t>
      </w:r>
    </w:p>
    <w:p>
      <w:r>
        <w:t>The gate is trained on pooled data from 6 known topologies only. Germany50 and VtlWavenet2011 are completely excluded from training.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40"/>
          </w:tcPr>
          <w:p>
            <w:pPr>
              <w:jc w:val="center"/>
            </w:pPr>
            <w:r/>
            <w:r>
              <w:rPr>
                <w:rFonts w:ascii="Arial" w:hAnsi="Arial"/>
                <w:b/>
                <w:sz w:val="20"/>
              </w:rPr>
              <w:t>Topology</w:t>
            </w:r>
          </w:p>
        </w:tc>
        <w:tc>
          <w:tcPr>
            <w:tcW w:type="dxa" w:w="720"/>
          </w:tcPr>
          <w:p>
            <w:pPr>
              <w:jc w:val="center"/>
            </w:pPr>
            <w:r/>
            <w:r>
              <w:rPr>
                <w:rFonts w:ascii="Arial" w:hAnsi="Arial"/>
                <w:b/>
                <w:sz w:val="20"/>
              </w:rPr>
              <w:t>Nodes</w:t>
            </w:r>
          </w:p>
        </w:tc>
        <w:tc>
          <w:tcPr>
            <w:tcW w:type="dxa" w:w="1008"/>
          </w:tcPr>
          <w:p>
            <w:pPr>
              <w:jc w:val="center"/>
            </w:pPr>
            <w:r/>
            <w:r>
              <w:rPr>
                <w:rFonts w:ascii="Arial" w:hAnsi="Arial"/>
                <w:b/>
                <w:sz w:val="20"/>
              </w:rPr>
              <w:t>Samples</w:t>
            </w:r>
          </w:p>
        </w:tc>
        <w:tc>
          <w:tcPr>
            <w:tcW w:type="dxa" w:w="1440"/>
          </w:tcPr>
          <w:p>
            <w:pPr>
              <w:jc w:val="center"/>
            </w:pPr>
            <w:r/>
            <w:r>
              <w:rPr>
                <w:rFonts w:ascii="Arial" w:hAnsi="Arial"/>
                <w:b/>
                <w:sz w:val="20"/>
              </w:rPr>
              <w:t>BN Oracle</w:t>
            </w:r>
          </w:p>
        </w:tc>
        <w:tc>
          <w:tcPr>
            <w:tcW w:type="dxa" w:w="1440"/>
          </w:tcPr>
          <w:p>
            <w:pPr>
              <w:jc w:val="center"/>
            </w:pPr>
            <w:r/>
            <w:r>
              <w:rPr>
                <w:rFonts w:ascii="Arial" w:hAnsi="Arial"/>
                <w:b/>
                <w:sz w:val="20"/>
              </w:rPr>
              <w:t>TopK Oracle</w:t>
            </w:r>
          </w:p>
        </w:tc>
        <w:tc>
          <w:tcPr>
            <w:tcW w:type="dxa" w:w="1440"/>
          </w:tcPr>
          <w:p>
            <w:pPr>
              <w:jc w:val="center"/>
            </w:pPr>
            <w:r/>
            <w:r>
              <w:rPr>
                <w:rFonts w:ascii="Arial" w:hAnsi="Arial"/>
                <w:b/>
                <w:sz w:val="20"/>
              </w:rPr>
              <w:t>Sens Oracle</w:t>
            </w:r>
          </w:p>
        </w:tc>
        <w:tc>
          <w:tcPr>
            <w:tcW w:type="dxa" w:w="1440"/>
          </w:tcPr>
          <w:p>
            <w:pPr>
              <w:jc w:val="center"/>
            </w:pPr>
            <w:r/>
            <w:r>
              <w:rPr>
                <w:rFonts w:ascii="Arial" w:hAnsi="Arial"/>
                <w:b/>
                <w:sz w:val="20"/>
              </w:rPr>
              <w:t>GNN Oracle</w:t>
            </w:r>
          </w:p>
        </w:tc>
      </w:tr>
      <w:tr>
        <w:tc>
          <w:tcPr>
            <w:tcW w:type="dxa" w:w="1440"/>
          </w:tcPr>
          <w:p>
            <w:pPr>
              <w:jc w:val="center"/>
            </w:pPr>
            <w:r/>
            <w:r>
              <w:rPr>
                <w:rFonts w:ascii="Arial" w:hAnsi="Arial"/>
                <w:sz w:val="20"/>
              </w:rPr>
              <w:t>Abilene</w:t>
            </w:r>
          </w:p>
        </w:tc>
        <w:tc>
          <w:tcPr>
            <w:tcW w:type="dxa" w:w="720"/>
          </w:tcPr>
          <w:p>
            <w:pPr>
              <w:jc w:val="center"/>
            </w:pPr>
            <w:r/>
            <w:r>
              <w:rPr>
                <w:rFonts w:ascii="Arial" w:hAnsi="Arial"/>
                <w:sz w:val="20"/>
              </w:rPr>
              <w:t>12</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140 (40%)</w:t>
            </w:r>
          </w:p>
        </w:tc>
        <w:tc>
          <w:tcPr>
            <w:tcW w:type="dxa" w:w="1440"/>
          </w:tcPr>
          <w:p>
            <w:pPr>
              <w:jc w:val="center"/>
            </w:pPr>
            <w:r/>
            <w:r>
              <w:rPr>
                <w:rFonts w:ascii="Arial" w:hAnsi="Arial"/>
                <w:sz w:val="20"/>
              </w:rPr>
              <w:t>58 (17%)</w:t>
            </w:r>
          </w:p>
        </w:tc>
        <w:tc>
          <w:tcPr>
            <w:tcW w:type="dxa" w:w="1440"/>
          </w:tcPr>
          <w:p>
            <w:pPr>
              <w:jc w:val="center"/>
            </w:pPr>
            <w:r/>
            <w:r>
              <w:rPr>
                <w:rFonts w:ascii="Arial" w:hAnsi="Arial"/>
                <w:sz w:val="20"/>
              </w:rPr>
              <w:t>90 (26%)</w:t>
            </w:r>
          </w:p>
        </w:tc>
        <w:tc>
          <w:tcPr>
            <w:tcW w:type="dxa" w:w="1440"/>
          </w:tcPr>
          <w:p>
            <w:pPr>
              <w:jc w:val="center"/>
            </w:pPr>
            <w:r/>
            <w:r>
              <w:rPr>
                <w:rFonts w:ascii="Arial" w:hAnsi="Arial"/>
                <w:sz w:val="20"/>
              </w:rPr>
              <w:t>62 (18%)</w:t>
            </w:r>
          </w:p>
        </w:tc>
      </w:tr>
      <w:tr>
        <w:tc>
          <w:tcPr>
            <w:tcW w:type="dxa" w:w="1440"/>
          </w:tcPr>
          <w:p>
            <w:pPr>
              <w:jc w:val="center"/>
            </w:pPr>
            <w:r/>
            <w:r>
              <w:rPr>
                <w:rFonts w:ascii="Arial" w:hAnsi="Arial"/>
                <w:sz w:val="20"/>
              </w:rPr>
              <w:t>GEANT</w:t>
            </w:r>
          </w:p>
        </w:tc>
        <w:tc>
          <w:tcPr>
            <w:tcW w:type="dxa" w:w="720"/>
          </w:tcPr>
          <w:p>
            <w:pPr>
              <w:jc w:val="center"/>
            </w:pPr>
            <w:r/>
            <w:r>
              <w:rPr>
                <w:rFonts w:ascii="Arial" w:hAnsi="Arial"/>
                <w:sz w:val="20"/>
              </w:rPr>
              <w:t>22</w:t>
            </w:r>
          </w:p>
        </w:tc>
        <w:tc>
          <w:tcPr>
            <w:tcW w:type="dxa" w:w="1008"/>
          </w:tcPr>
          <w:p>
            <w:pPr>
              <w:jc w:val="center"/>
            </w:pPr>
            <w:r/>
            <w:r>
              <w:rPr>
                <w:rFonts w:ascii="Arial" w:hAnsi="Arial"/>
                <w:sz w:val="20"/>
              </w:rPr>
              <w:t>348</w:t>
            </w:r>
          </w:p>
        </w:tc>
        <w:tc>
          <w:tcPr>
            <w:tcW w:type="dxa" w:w="1440"/>
          </w:tcPr>
          <w:p>
            <w:pPr>
              <w:jc w:val="center"/>
            </w:pPr>
            <w:r/>
            <w:r>
              <w:rPr>
                <w:rFonts w:ascii="Arial" w:hAnsi="Arial"/>
                <w:sz w:val="20"/>
              </w:rPr>
              <w:t>291 (84%)</w:t>
            </w:r>
          </w:p>
        </w:tc>
        <w:tc>
          <w:tcPr>
            <w:tcW w:type="dxa" w:w="1440"/>
          </w:tcPr>
          <w:p>
            <w:pPr>
              <w:jc w:val="center"/>
            </w:pPr>
            <w:r/>
            <w:r>
              <w:rPr>
                <w:rFonts w:ascii="Arial" w:hAnsi="Arial"/>
                <w:sz w:val="20"/>
              </w:rPr>
              <w:t>0 (0%)</w:t>
            </w:r>
          </w:p>
        </w:tc>
        <w:tc>
          <w:tcPr>
            <w:tcW w:type="dxa" w:w="1440"/>
          </w:tcPr>
          <w:p>
            <w:pPr>
              <w:jc w:val="center"/>
            </w:pPr>
            <w:r/>
            <w:r>
              <w:rPr>
                <w:rFonts w:ascii="Arial" w:hAnsi="Arial"/>
                <w:sz w:val="20"/>
              </w:rPr>
              <w:t>0 (0%)</w:t>
            </w:r>
          </w:p>
        </w:tc>
        <w:tc>
          <w:tcPr>
            <w:tcW w:type="dxa" w:w="1440"/>
          </w:tcPr>
          <w:p>
            <w:pPr>
              <w:jc w:val="center"/>
            </w:pPr>
            <w:r/>
            <w:r>
              <w:rPr>
                <w:rFonts w:ascii="Arial" w:hAnsi="Arial"/>
                <w:sz w:val="20"/>
              </w:rPr>
              <w:t>57 (16%)</w:t>
            </w:r>
          </w:p>
        </w:tc>
      </w:tr>
      <w:tr>
        <w:tc>
          <w:tcPr>
            <w:tcW w:type="dxa" w:w="1440"/>
          </w:tcPr>
          <w:p>
            <w:pPr>
              <w:jc w:val="center"/>
            </w:pPr>
            <w:r/>
            <w:r>
              <w:rPr>
                <w:rFonts w:ascii="Arial" w:hAnsi="Arial"/>
                <w:sz w:val="20"/>
              </w:rPr>
              <w:t>CERNET</w:t>
            </w:r>
          </w:p>
        </w:tc>
        <w:tc>
          <w:tcPr>
            <w:tcW w:type="dxa" w:w="720"/>
          </w:tcPr>
          <w:p>
            <w:pPr>
              <w:jc w:val="center"/>
            </w:pPr>
            <w:r/>
            <w:r>
              <w:rPr>
                <w:rFonts w:ascii="Arial" w:hAnsi="Arial"/>
                <w:sz w:val="20"/>
              </w:rPr>
              <w:t>41</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310 (89%)</w:t>
            </w:r>
          </w:p>
        </w:tc>
        <w:tc>
          <w:tcPr>
            <w:tcW w:type="dxa" w:w="1440"/>
          </w:tcPr>
          <w:p>
            <w:pPr>
              <w:jc w:val="center"/>
            </w:pPr>
            <w:r/>
            <w:r>
              <w:rPr>
                <w:rFonts w:ascii="Arial" w:hAnsi="Arial"/>
                <w:sz w:val="20"/>
              </w:rPr>
              <w:t>3 (1%)</w:t>
            </w:r>
          </w:p>
        </w:tc>
        <w:tc>
          <w:tcPr>
            <w:tcW w:type="dxa" w:w="1440"/>
          </w:tcPr>
          <w:p>
            <w:pPr>
              <w:jc w:val="center"/>
            </w:pPr>
            <w:r/>
            <w:r>
              <w:rPr>
                <w:rFonts w:ascii="Arial" w:hAnsi="Arial"/>
                <w:sz w:val="20"/>
              </w:rPr>
              <w:t>4 (1%)</w:t>
            </w:r>
          </w:p>
        </w:tc>
        <w:tc>
          <w:tcPr>
            <w:tcW w:type="dxa" w:w="1440"/>
          </w:tcPr>
          <w:p>
            <w:pPr>
              <w:jc w:val="center"/>
            </w:pPr>
            <w:r/>
            <w:r>
              <w:rPr>
                <w:rFonts w:ascii="Arial" w:hAnsi="Arial"/>
                <w:sz w:val="20"/>
              </w:rPr>
              <w:t>33 (9%)</w:t>
            </w:r>
          </w:p>
        </w:tc>
      </w:tr>
      <w:tr>
        <w:tc>
          <w:tcPr>
            <w:tcW w:type="dxa" w:w="1440"/>
          </w:tcPr>
          <w:p>
            <w:pPr>
              <w:jc w:val="center"/>
            </w:pPr>
            <w:r/>
            <w:r>
              <w:rPr>
                <w:rFonts w:ascii="Arial" w:hAnsi="Arial"/>
                <w:sz w:val="20"/>
              </w:rPr>
              <w:t>Ebone</w:t>
            </w:r>
          </w:p>
        </w:tc>
        <w:tc>
          <w:tcPr>
            <w:tcW w:type="dxa" w:w="720"/>
          </w:tcPr>
          <w:p>
            <w:pPr>
              <w:jc w:val="center"/>
            </w:pPr>
            <w:r/>
            <w:r>
              <w:rPr>
                <w:rFonts w:ascii="Arial" w:hAnsi="Arial"/>
                <w:sz w:val="20"/>
              </w:rPr>
              <w:t>23</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100 (29%)</w:t>
            </w:r>
          </w:p>
        </w:tc>
        <w:tc>
          <w:tcPr>
            <w:tcW w:type="dxa" w:w="1440"/>
          </w:tcPr>
          <w:p>
            <w:pPr>
              <w:jc w:val="center"/>
            </w:pPr>
            <w:r/>
            <w:r>
              <w:rPr>
                <w:rFonts w:ascii="Arial" w:hAnsi="Arial"/>
                <w:sz w:val="20"/>
              </w:rPr>
              <w:t>61 (17%)</w:t>
            </w:r>
          </w:p>
        </w:tc>
        <w:tc>
          <w:tcPr>
            <w:tcW w:type="dxa" w:w="1440"/>
          </w:tcPr>
          <w:p>
            <w:pPr>
              <w:jc w:val="center"/>
            </w:pPr>
            <w:r/>
            <w:r>
              <w:rPr>
                <w:rFonts w:ascii="Arial" w:hAnsi="Arial"/>
                <w:sz w:val="20"/>
              </w:rPr>
              <w:t>116 (33%)</w:t>
            </w:r>
          </w:p>
        </w:tc>
        <w:tc>
          <w:tcPr>
            <w:tcW w:type="dxa" w:w="1440"/>
          </w:tcPr>
          <w:p>
            <w:pPr>
              <w:jc w:val="center"/>
            </w:pPr>
            <w:r/>
            <w:r>
              <w:rPr>
                <w:rFonts w:ascii="Arial" w:hAnsi="Arial"/>
                <w:sz w:val="20"/>
              </w:rPr>
              <w:t>73 (21%)</w:t>
            </w:r>
          </w:p>
        </w:tc>
      </w:tr>
      <w:tr>
        <w:tc>
          <w:tcPr>
            <w:tcW w:type="dxa" w:w="1440"/>
          </w:tcPr>
          <w:p>
            <w:pPr>
              <w:jc w:val="center"/>
            </w:pPr>
            <w:r/>
            <w:r>
              <w:rPr>
                <w:rFonts w:ascii="Arial" w:hAnsi="Arial"/>
                <w:sz w:val="20"/>
              </w:rPr>
              <w:t>Sprintlink</w:t>
            </w:r>
          </w:p>
        </w:tc>
        <w:tc>
          <w:tcPr>
            <w:tcW w:type="dxa" w:w="720"/>
          </w:tcPr>
          <w:p>
            <w:pPr>
              <w:jc w:val="center"/>
            </w:pPr>
            <w:r/>
            <w:r>
              <w:rPr>
                <w:rFonts w:ascii="Arial" w:hAnsi="Arial"/>
                <w:sz w:val="20"/>
              </w:rPr>
              <w:t>44</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283 (81%)</w:t>
            </w:r>
          </w:p>
        </w:tc>
        <w:tc>
          <w:tcPr>
            <w:tcW w:type="dxa" w:w="1440"/>
          </w:tcPr>
          <w:p>
            <w:pPr>
              <w:jc w:val="center"/>
            </w:pPr>
            <w:r/>
            <w:r>
              <w:rPr>
                <w:rFonts w:ascii="Arial" w:hAnsi="Arial"/>
                <w:sz w:val="20"/>
              </w:rPr>
              <w:t>61 (17%)</w:t>
            </w:r>
          </w:p>
        </w:tc>
        <w:tc>
          <w:tcPr>
            <w:tcW w:type="dxa" w:w="1440"/>
          </w:tcPr>
          <w:p>
            <w:pPr>
              <w:jc w:val="center"/>
            </w:pPr>
            <w:r/>
            <w:r>
              <w:rPr>
                <w:rFonts w:ascii="Arial" w:hAnsi="Arial"/>
                <w:sz w:val="20"/>
              </w:rPr>
              <w:t>3 (1%)</w:t>
            </w:r>
          </w:p>
        </w:tc>
        <w:tc>
          <w:tcPr>
            <w:tcW w:type="dxa" w:w="1440"/>
          </w:tcPr>
          <w:p>
            <w:pPr>
              <w:jc w:val="center"/>
            </w:pPr>
            <w:r/>
            <w:r>
              <w:rPr>
                <w:rFonts w:ascii="Arial" w:hAnsi="Arial"/>
                <w:sz w:val="20"/>
              </w:rPr>
              <w:t>3 (1%)</w:t>
            </w:r>
          </w:p>
        </w:tc>
      </w:tr>
      <w:tr>
        <w:tc>
          <w:tcPr>
            <w:tcW w:type="dxa" w:w="1440"/>
          </w:tcPr>
          <w:p>
            <w:pPr>
              <w:jc w:val="center"/>
            </w:pPr>
            <w:r/>
            <w:r>
              <w:rPr>
                <w:rFonts w:ascii="Arial" w:hAnsi="Arial"/>
                <w:sz w:val="20"/>
              </w:rPr>
              <w:t>Tiscali</w:t>
            </w:r>
          </w:p>
        </w:tc>
        <w:tc>
          <w:tcPr>
            <w:tcW w:type="dxa" w:w="720"/>
          </w:tcPr>
          <w:p>
            <w:pPr>
              <w:jc w:val="center"/>
            </w:pPr>
            <w:r/>
            <w:r>
              <w:rPr>
                <w:rFonts w:ascii="Arial" w:hAnsi="Arial"/>
                <w:sz w:val="20"/>
              </w:rPr>
              <w:t>49</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234 (67%)</w:t>
            </w:r>
          </w:p>
        </w:tc>
        <w:tc>
          <w:tcPr>
            <w:tcW w:type="dxa" w:w="1440"/>
          </w:tcPr>
          <w:p>
            <w:pPr>
              <w:jc w:val="center"/>
            </w:pPr>
            <w:r/>
            <w:r>
              <w:rPr>
                <w:rFonts w:ascii="Arial" w:hAnsi="Arial"/>
                <w:sz w:val="20"/>
              </w:rPr>
              <w:t>5 (1%)</w:t>
            </w:r>
          </w:p>
        </w:tc>
        <w:tc>
          <w:tcPr>
            <w:tcW w:type="dxa" w:w="1440"/>
          </w:tcPr>
          <w:p>
            <w:pPr>
              <w:jc w:val="center"/>
            </w:pPr>
            <w:r/>
            <w:r>
              <w:rPr>
                <w:rFonts w:ascii="Arial" w:hAnsi="Arial"/>
                <w:sz w:val="20"/>
              </w:rPr>
              <w:t>87 (25%)</w:t>
            </w:r>
          </w:p>
        </w:tc>
        <w:tc>
          <w:tcPr>
            <w:tcW w:type="dxa" w:w="1440"/>
          </w:tcPr>
          <w:p>
            <w:pPr>
              <w:jc w:val="center"/>
            </w:pPr>
            <w:r/>
            <w:r>
              <w:rPr>
                <w:rFonts w:ascii="Arial" w:hAnsi="Arial"/>
                <w:sz w:val="20"/>
              </w:rPr>
              <w:t>24 (7%)</w:t>
            </w:r>
          </w:p>
        </w:tc>
      </w:tr>
      <w:tr>
        <w:tc>
          <w:tcPr>
            <w:tcW w:type="dxa" w:w="1440"/>
          </w:tcPr>
          <w:p>
            <w:pPr>
              <w:jc w:val="center"/>
            </w:pPr>
            <w:r/>
            <w:r>
              <w:rPr>
                <w:rFonts w:ascii="Arial" w:hAnsi="Arial"/>
                <w:sz w:val="20"/>
              </w:rPr>
              <w:t>TOTAL</w:t>
            </w:r>
          </w:p>
        </w:tc>
        <w:tc>
          <w:tcPr>
            <w:tcW w:type="dxa" w:w="720"/>
          </w:tcPr>
          <w:p>
            <w:pPr>
              <w:jc w:val="center"/>
            </w:pPr>
            <w:r/>
            <w:r>
              <w:rPr>
                <w:rFonts w:ascii="Arial" w:hAnsi="Arial"/>
                <w:sz w:val="20"/>
              </w:rPr>
              <w:t>--</w:t>
            </w:r>
          </w:p>
        </w:tc>
        <w:tc>
          <w:tcPr>
            <w:tcW w:type="dxa" w:w="1008"/>
          </w:tcPr>
          <w:p>
            <w:pPr>
              <w:jc w:val="center"/>
            </w:pPr>
            <w:r/>
            <w:r>
              <w:rPr>
                <w:rFonts w:ascii="Arial" w:hAnsi="Arial"/>
                <w:sz w:val="20"/>
              </w:rPr>
              <w:t>2,098</w:t>
            </w:r>
          </w:p>
        </w:tc>
        <w:tc>
          <w:tcPr>
            <w:tcW w:type="dxa" w:w="1440"/>
          </w:tcPr>
          <w:p>
            <w:pPr>
              <w:jc w:val="center"/>
            </w:pPr>
            <w:r/>
            <w:r>
              <w:rPr>
                <w:rFonts w:ascii="Arial" w:hAnsi="Arial"/>
                <w:sz w:val="20"/>
              </w:rPr>
              <w:t>1,358 (65%)</w:t>
            </w:r>
          </w:p>
        </w:tc>
        <w:tc>
          <w:tcPr>
            <w:tcW w:type="dxa" w:w="1440"/>
          </w:tcPr>
          <w:p>
            <w:pPr>
              <w:jc w:val="center"/>
            </w:pPr>
            <w:r/>
            <w:r>
              <w:rPr>
                <w:rFonts w:ascii="Arial" w:hAnsi="Arial"/>
                <w:sz w:val="20"/>
              </w:rPr>
              <w:t>188 (9%)</w:t>
            </w:r>
          </w:p>
        </w:tc>
        <w:tc>
          <w:tcPr>
            <w:tcW w:type="dxa" w:w="1440"/>
          </w:tcPr>
          <w:p>
            <w:pPr>
              <w:jc w:val="center"/>
            </w:pPr>
            <w:r/>
            <w:r>
              <w:rPr>
                <w:rFonts w:ascii="Arial" w:hAnsi="Arial"/>
                <w:sz w:val="20"/>
              </w:rPr>
              <w:t>300 (14%)</w:t>
            </w:r>
          </w:p>
        </w:tc>
        <w:tc>
          <w:tcPr>
            <w:tcW w:type="dxa" w:w="1440"/>
          </w:tcPr>
          <w:p>
            <w:pPr>
              <w:jc w:val="center"/>
            </w:pPr>
            <w:r/>
            <w:r>
              <w:rPr>
                <w:rFonts w:ascii="Arial" w:hAnsi="Arial"/>
                <w:sz w:val="20"/>
              </w:rPr>
              <w:t>252 (12%)</w:t>
            </w:r>
          </w:p>
        </w:tc>
      </w:tr>
    </w:tbl>
    <w:p/>
    <w:p>
      <w:pPr>
        <w:pStyle w:val="Heading2"/>
      </w:pPr>
      <w:r>
        <w:t>3.2 Oracle Label Generation</w:t>
      </w:r>
    </w:p>
    <w:p>
      <w:r>
        <w:t>For each training TM, all 4 experts are run, each selection is evaluated through LP, and the oracle label is argmin(BN_MLU, TopK_MLU, Sens_MLU, GNN_MLU). This produces the ground-truth 'best expert' label per timestep.</w:t>
      </w:r>
    </w:p>
    <w:p>
      <w:pPr>
        <w:pStyle w:val="Heading2"/>
      </w:pPr>
      <w:r>
        <w:t>3.3 Class Imbalance Handling</w:t>
      </w:r>
    </w:p>
    <w:p>
      <w:r>
        <w:t>The training oracle is heavily skewed: 65% Bottleneck, 9% TopK, 14% Sensitivity, 12% GNN. We use inverse-frequency class weights in CrossEntropyLoss: w_i = N / (C * count_i), where N is total samples, C is number of classes (4), and count_i is the number of samples for class i. This prevents the MLP from collapsing to always-Bottleneck.</w:t>
      </w:r>
    </w:p>
    <w:p>
      <w:pPr>
        <w:pStyle w:val="Heading2"/>
      </w:pPr>
      <w:r>
        <w:t>3.4 Training Configuration</w:t>
      </w:r>
    </w:p>
    <w:tbl>
      <w:tblPr>
        <w:tblStyle w:val="LightGrid-Accent1"/>
        <w:tblW w:type="auto" w:w="0"/>
        <w:jc w:val="center"/>
        <w:tblLook w:firstColumn="1" w:firstRow="1" w:lastColumn="0" w:lastRow="0" w:noHBand="0" w:noVBand="1" w:val="04A0"/>
      </w:tblPr>
      <w:tblGrid>
        <w:gridCol w:w="4320"/>
        <w:gridCol w:w="4320"/>
      </w:tblGrid>
      <w:tr>
        <w:tc>
          <w:tcPr>
            <w:tcW w:type="dxa" w:w="3600"/>
          </w:tcPr>
          <w:p>
            <w:pPr>
              <w:jc w:val="center"/>
            </w:pPr>
            <w:r/>
            <w:r>
              <w:rPr>
                <w:rFonts w:ascii="Arial" w:hAnsi="Arial"/>
                <w:b/>
                <w:sz w:val="20"/>
              </w:rPr>
              <w:t>Parameter</w:t>
            </w:r>
          </w:p>
        </w:tc>
        <w:tc>
          <w:tcPr>
            <w:tcW w:type="dxa" w:w="3600"/>
          </w:tcPr>
          <w:p>
            <w:pPr>
              <w:jc w:val="center"/>
            </w:pPr>
            <w:r/>
            <w:r>
              <w:rPr>
                <w:rFonts w:ascii="Arial" w:hAnsi="Arial"/>
                <w:b/>
                <w:sz w:val="20"/>
              </w:rPr>
              <w:t>Value</w:t>
            </w:r>
          </w:p>
        </w:tc>
      </w:tr>
      <w:tr>
        <w:tc>
          <w:tcPr>
            <w:tcW w:type="dxa" w:w="3600"/>
          </w:tcPr>
          <w:p>
            <w:pPr>
              <w:jc w:val="center"/>
            </w:pPr>
            <w:r/>
            <w:r>
              <w:rPr>
                <w:rFonts w:ascii="Arial" w:hAnsi="Arial"/>
                <w:sz w:val="20"/>
              </w:rPr>
              <w:t>Hidden dimension</w:t>
            </w:r>
          </w:p>
        </w:tc>
        <w:tc>
          <w:tcPr>
            <w:tcW w:type="dxa" w:w="3600"/>
          </w:tcPr>
          <w:p>
            <w:pPr>
              <w:jc w:val="center"/>
            </w:pPr>
            <w:r/>
            <w:r>
              <w:rPr>
                <w:rFonts w:ascii="Arial" w:hAnsi="Arial"/>
                <w:sz w:val="20"/>
              </w:rPr>
              <w:t>128</w:t>
            </w:r>
          </w:p>
        </w:tc>
      </w:tr>
      <w:tr>
        <w:tc>
          <w:tcPr>
            <w:tcW w:type="dxa" w:w="3600"/>
          </w:tcPr>
          <w:p>
            <w:pPr>
              <w:jc w:val="center"/>
            </w:pPr>
            <w:r/>
            <w:r>
              <w:rPr>
                <w:rFonts w:ascii="Arial" w:hAnsi="Arial"/>
                <w:sz w:val="20"/>
              </w:rPr>
              <w:t>Dropout</w:t>
            </w:r>
          </w:p>
        </w:tc>
        <w:tc>
          <w:tcPr>
            <w:tcW w:type="dxa" w:w="3600"/>
          </w:tcPr>
          <w:p>
            <w:pPr>
              <w:jc w:val="center"/>
            </w:pPr>
            <w:r/>
            <w:r>
              <w:rPr>
                <w:rFonts w:ascii="Arial" w:hAnsi="Arial"/>
                <w:sz w:val="20"/>
              </w:rPr>
              <w:t>0.3</w:t>
            </w:r>
          </w:p>
        </w:tc>
      </w:tr>
      <w:tr>
        <w:tc>
          <w:tcPr>
            <w:tcW w:type="dxa" w:w="3600"/>
          </w:tcPr>
          <w:p>
            <w:pPr>
              <w:jc w:val="center"/>
            </w:pPr>
            <w:r/>
            <w:r>
              <w:rPr>
                <w:rFonts w:ascii="Arial" w:hAnsi="Arial"/>
                <w:sz w:val="20"/>
              </w:rPr>
              <w:t>Learning rate</w:t>
            </w:r>
          </w:p>
        </w:tc>
        <w:tc>
          <w:tcPr>
            <w:tcW w:type="dxa" w:w="3600"/>
          </w:tcPr>
          <w:p>
            <w:pPr>
              <w:jc w:val="center"/>
            </w:pPr>
            <w:r/>
            <w:r>
              <w:rPr>
                <w:rFonts w:ascii="Arial" w:hAnsi="Arial"/>
                <w:sz w:val="20"/>
              </w:rPr>
              <w:t>5e-4 (Adam)</w:t>
            </w:r>
          </w:p>
        </w:tc>
      </w:tr>
      <w:tr>
        <w:tc>
          <w:tcPr>
            <w:tcW w:type="dxa" w:w="3600"/>
          </w:tcPr>
          <w:p>
            <w:pPr>
              <w:jc w:val="center"/>
            </w:pPr>
            <w:r/>
            <w:r>
              <w:rPr>
                <w:rFonts w:ascii="Arial" w:hAnsi="Arial"/>
                <w:sz w:val="20"/>
              </w:rPr>
              <w:t>Epochs</w:t>
            </w:r>
          </w:p>
        </w:tc>
        <w:tc>
          <w:tcPr>
            <w:tcW w:type="dxa" w:w="3600"/>
          </w:tcPr>
          <w:p>
            <w:pPr>
              <w:jc w:val="center"/>
            </w:pPr>
            <w:r/>
            <w:r>
              <w:rPr>
                <w:rFonts w:ascii="Arial" w:hAnsi="Arial"/>
                <w:sz w:val="20"/>
              </w:rPr>
              <w:t>300</w:t>
            </w:r>
          </w:p>
        </w:tc>
      </w:tr>
      <w:tr>
        <w:tc>
          <w:tcPr>
            <w:tcW w:type="dxa" w:w="3600"/>
          </w:tcPr>
          <w:p>
            <w:pPr>
              <w:jc w:val="center"/>
            </w:pPr>
            <w:r/>
            <w:r>
              <w:rPr>
                <w:rFonts w:ascii="Arial" w:hAnsi="Arial"/>
                <w:sz w:val="20"/>
              </w:rPr>
              <w:t>Batch size</w:t>
            </w:r>
          </w:p>
        </w:tc>
        <w:tc>
          <w:tcPr>
            <w:tcW w:type="dxa" w:w="3600"/>
          </w:tcPr>
          <w:p>
            <w:pPr>
              <w:jc w:val="center"/>
            </w:pPr>
            <w:r/>
            <w:r>
              <w:rPr>
                <w:rFonts w:ascii="Arial" w:hAnsi="Arial"/>
                <w:sz w:val="20"/>
              </w:rPr>
              <w:t>64</w:t>
            </w:r>
          </w:p>
        </w:tc>
      </w:tr>
      <w:tr>
        <w:tc>
          <w:tcPr>
            <w:tcW w:type="dxa" w:w="3600"/>
          </w:tcPr>
          <w:p>
            <w:pPr>
              <w:jc w:val="center"/>
            </w:pPr>
            <w:r/>
            <w:r>
              <w:rPr>
                <w:rFonts w:ascii="Arial" w:hAnsi="Arial"/>
                <w:sz w:val="20"/>
              </w:rPr>
              <w:t>Train accuracy</w:t>
            </w:r>
          </w:p>
        </w:tc>
        <w:tc>
          <w:tcPr>
            <w:tcW w:type="dxa" w:w="3600"/>
          </w:tcPr>
          <w:p>
            <w:pPr>
              <w:jc w:val="center"/>
            </w:pPr>
            <w:r/>
            <w:r>
              <w:rPr>
                <w:rFonts w:ascii="Arial" w:hAnsi="Arial"/>
                <w:sz w:val="20"/>
              </w:rPr>
              <w:t>62.3%</w:t>
            </w:r>
          </w:p>
        </w:tc>
      </w:tr>
      <w:tr>
        <w:tc>
          <w:tcPr>
            <w:tcW w:type="dxa" w:w="3600"/>
          </w:tcPr>
          <w:p>
            <w:pPr>
              <w:jc w:val="center"/>
            </w:pPr>
            <w:r/>
            <w:r>
              <w:rPr>
                <w:rFonts w:ascii="Arial" w:hAnsi="Arial"/>
                <w:sz w:val="20"/>
              </w:rPr>
              <w:t>Validation accuracy</w:t>
            </w:r>
          </w:p>
        </w:tc>
        <w:tc>
          <w:tcPr>
            <w:tcW w:type="dxa" w:w="3600"/>
          </w:tcPr>
          <w:p>
            <w:pPr>
              <w:jc w:val="center"/>
            </w:pPr>
            <w:r/>
            <w:r>
              <w:rPr>
                <w:rFonts w:ascii="Arial" w:hAnsi="Arial"/>
                <w:sz w:val="20"/>
              </w:rPr>
              <w:t>49.8%</w:t>
            </w:r>
          </w:p>
        </w:tc>
      </w:tr>
    </w:tbl>
    <w:p/>
    <w:p>
      <w:pPr>
        <w:pStyle w:val="Heading1"/>
      </w:pPr>
      <w:r>
        <w:t>4. Few-Shot Bayesian Calibration</w:t>
      </w:r>
    </w:p>
    <w:p>
      <w:pPr>
        <w:pStyle w:val="Heading2"/>
      </w:pPr>
      <w:r>
        <w:t>4.1 Motivation</w:t>
      </w:r>
    </w:p>
    <w:p>
      <w:r>
        <w:t>Without calibration, the MLP gate selects Bottleneck 100% of the time on Germany50 (unseen), despite GNN being the oracle-best expert 95% of the time. This happens because: (1) the training data is 65% Bottleneck, biasing the MLP; (2) the MLP has never seen Germany50's feature distribution during training; (3) the MLP's softmax outputs are overconfident in Bottleneck for out-of-distribution inputs.</w:t>
      </w:r>
    </w:p>
    <w:p>
      <w:pPr>
        <w:pStyle w:val="Heading2"/>
      </w:pPr>
      <w:r>
        <w:t>4.2 Method</w:t>
      </w:r>
    </w:p>
    <w:p>
      <w:r>
        <w:t>Before evaluating on any topology (known or unseen), a calibration phase runs 10 validation traffic matrices through all 4 experts with LP optimization, counting which expert achieves the lowest MLU. This produces a topology-specific Bayesian prior with Laplace smoothing:</w:t>
      </w:r>
    </w:p>
    <w:p>
      <w:pPr>
        <w:jc w:val="center"/>
      </w:pPr>
      <w:r>
        <w:rPr>
          <w:i/>
          <w:sz w:val="22"/>
        </w:rPr>
        <w:t>prior[i] = (win_count[i] + 1) / (N_calib + C)</w:t>
      </w:r>
    </w:p>
    <w:p>
      <w:r>
        <w:t>At inference time, the MLP softmax output is fused with this prior:</w:t>
      </w:r>
    </w:p>
    <w:p>
      <w:pPr>
        <w:jc w:val="center"/>
      </w:pPr>
      <w:r>
        <w:rPr>
          <w:i/>
          <w:sz w:val="22"/>
        </w:rPr>
        <w:t>P_final(i) = P_MLP(i) * prior(i)^alpha / Z</w:t>
      </w:r>
    </w:p>
    <w:p>
      <w:r>
        <w:t>where alpha = 5 controls calibration influence and Z is a normalization constant. Higher alpha values give more weight to the calibration prior over the MLP's raw predictions. No gradient updates occur during calibration -- only 40 LP evaluations (10 TMs x 4 experts).</w:t>
      </w:r>
    </w:p>
    <w:p>
      <w:pPr>
        <w:pStyle w:val="Heading2"/>
      </w:pPr>
      <w:r>
        <w:t>4.3 Calibration Priors (Actual Values)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tcPr>
          <w:p>
            <w:pPr>
              <w:jc w:val="center"/>
            </w:pPr>
            <w:r/>
            <w:r>
              <w:rPr>
                <w:rFonts w:ascii="Arial" w:hAnsi="Arial"/>
                <w:b/>
                <w:sz w:val="20"/>
              </w:rPr>
              <w:t>Topology</w:t>
            </w:r>
          </w:p>
        </w:tc>
        <w:tc>
          <w:tcPr>
            <w:tcW w:type="dxa" w:w="1008"/>
          </w:tcPr>
          <w:p>
            <w:pPr>
              <w:jc w:val="center"/>
            </w:pPr>
            <w:r/>
            <w:r>
              <w:rPr>
                <w:rFonts w:ascii="Arial" w:hAnsi="Arial"/>
                <w:b/>
                <w:sz w:val="20"/>
              </w:rPr>
              <w:t>Type</w:t>
            </w:r>
          </w:p>
        </w:tc>
        <w:tc>
          <w:tcPr>
            <w:tcW w:type="dxa" w:w="1152"/>
          </w:tcPr>
          <w:p>
            <w:pPr>
              <w:jc w:val="center"/>
            </w:pPr>
            <w:r/>
            <w:r>
              <w:rPr>
                <w:rFonts w:ascii="Arial" w:hAnsi="Arial"/>
                <w:b/>
                <w:sz w:val="20"/>
              </w:rPr>
              <w:t>BN Prior</w:t>
            </w:r>
          </w:p>
        </w:tc>
        <w:tc>
          <w:tcPr>
            <w:tcW w:type="dxa" w:w="1152"/>
          </w:tcPr>
          <w:p>
            <w:pPr>
              <w:jc w:val="center"/>
            </w:pPr>
            <w:r/>
            <w:r>
              <w:rPr>
                <w:rFonts w:ascii="Arial" w:hAnsi="Arial"/>
                <w:b/>
                <w:sz w:val="20"/>
              </w:rPr>
              <w:t>TopK Prior</w:t>
            </w:r>
          </w:p>
        </w:tc>
        <w:tc>
          <w:tcPr>
            <w:tcW w:type="dxa" w:w="1152"/>
          </w:tcPr>
          <w:p>
            <w:pPr>
              <w:jc w:val="center"/>
            </w:pPr>
            <w:r/>
            <w:r>
              <w:rPr>
                <w:rFonts w:ascii="Arial" w:hAnsi="Arial"/>
                <w:b/>
                <w:sz w:val="20"/>
              </w:rPr>
              <w:t>Sens Prior</w:t>
            </w:r>
          </w:p>
        </w:tc>
        <w:tc>
          <w:tcPr>
            <w:tcW w:type="dxa" w:w="1152"/>
          </w:tcPr>
          <w:p>
            <w:pPr>
              <w:jc w:val="center"/>
            </w:pPr>
            <w:r/>
            <w:r>
              <w:rPr>
                <w:rFonts w:ascii="Arial" w:hAnsi="Arial"/>
                <w:b/>
                <w:sz w:val="20"/>
              </w:rPr>
              <w:t>GNN Prior</w:t>
            </w:r>
          </w:p>
        </w:tc>
      </w:tr>
      <w:tr>
        <w:tc>
          <w:tcPr>
            <w:tcW w:type="dxa" w:w="1728"/>
          </w:tcPr>
          <w:p>
            <w:pPr>
              <w:jc w:val="center"/>
            </w:pPr>
            <w:r/>
            <w:r>
              <w:rPr>
                <w:rFonts w:ascii="Arial" w:hAnsi="Arial"/>
                <w:sz w:val="20"/>
              </w:rPr>
              <w:t>Abilene</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0.36</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GEANT</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0.50</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0.36</w:t>
            </w:r>
          </w:p>
        </w:tc>
      </w:tr>
      <w:tr>
        <w:tc>
          <w:tcPr>
            <w:tcW w:type="dxa" w:w="1728"/>
          </w:tcPr>
          <w:p>
            <w:pPr>
              <w:jc w:val="center"/>
            </w:pPr>
            <w:r/>
            <w:r>
              <w:rPr>
                <w:rFonts w:ascii="Arial" w:hAnsi="Arial"/>
                <w:sz w:val="20"/>
              </w:rPr>
              <w:t>CERNET</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0.71</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Ebone</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0.36</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0.21</w:t>
            </w:r>
          </w:p>
        </w:tc>
      </w:tr>
      <w:tr>
        <w:tc>
          <w:tcPr>
            <w:tcW w:type="dxa" w:w="1728"/>
          </w:tcPr>
          <w:p>
            <w:pPr>
              <w:jc w:val="center"/>
            </w:pPr>
            <w:r/>
            <w:r>
              <w:rPr>
                <w:rFonts w:ascii="Arial" w:hAnsi="Arial"/>
                <w:sz w:val="20"/>
              </w:rPr>
              <w:t>Sprintlink</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0.57</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Tiscali</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0.07</w:t>
            </w:r>
          </w:p>
        </w:tc>
      </w:tr>
      <w:tr>
        <w:tc>
          <w:tcPr>
            <w:tcW w:type="dxa" w:w="1728"/>
          </w:tcPr>
          <w:p>
            <w:pPr>
              <w:jc w:val="center"/>
            </w:pPr>
            <w:r/>
            <w:r>
              <w:rPr>
                <w:rFonts w:ascii="Arial" w:hAnsi="Arial"/>
                <w:sz w:val="20"/>
              </w:rPr>
              <w:t>Germany50</w:t>
            </w:r>
          </w:p>
        </w:tc>
        <w:tc>
          <w:tcPr>
            <w:tcW w:type="dxa" w:w="1008"/>
          </w:tcPr>
          <w:p>
            <w:pPr>
              <w:jc w:val="center"/>
            </w:pPr>
            <w:r/>
            <w:r>
              <w:rPr>
                <w:rFonts w:ascii="Arial" w:hAnsi="Arial"/>
                <w:sz w:val="20"/>
              </w:rPr>
              <w:t>UNSEEN</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0.79</w:t>
            </w:r>
          </w:p>
        </w:tc>
      </w:tr>
      <w:tr>
        <w:tc>
          <w:tcPr>
            <w:tcW w:type="dxa" w:w="1728"/>
          </w:tcPr>
          <w:p>
            <w:pPr>
              <w:jc w:val="center"/>
            </w:pPr>
            <w:r/>
            <w:r>
              <w:rPr>
                <w:rFonts w:ascii="Arial" w:hAnsi="Arial"/>
                <w:sz w:val="20"/>
              </w:rPr>
              <w:t>VtlWavenet</w:t>
            </w:r>
          </w:p>
        </w:tc>
        <w:tc>
          <w:tcPr>
            <w:tcW w:type="dxa" w:w="1008"/>
          </w:tcPr>
          <w:p>
            <w:pPr>
              <w:jc w:val="center"/>
            </w:pPr>
            <w:r/>
            <w:r>
              <w:rPr>
                <w:rFonts w:ascii="Arial" w:hAnsi="Arial"/>
                <w:sz w:val="20"/>
              </w:rPr>
              <w:t>UNSEEN</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0.57</w:t>
            </w:r>
          </w:p>
        </w:tc>
      </w:tr>
    </w:tbl>
    <w:p/>
    <w:p>
      <w:r>
        <w:t>Germany50's calibration prior strongly favors GNN (0.79), which when raised to alpha=5 becomes 0.97 -- enough to override the MLP's Bottleneck bias on most timesteps.</w:t>
      </w:r>
    </w:p>
    <w:p>
      <w:pPr>
        <w:pStyle w:val="Heading1"/>
      </w:pPr>
      <w:r>
        <w:t>5. Results -- All 8 Topologies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440"/>
          </w:tcPr>
          <w:p>
            <w:pPr>
              <w:jc w:val="center"/>
            </w:pPr>
            <w:r/>
            <w:r>
              <w:rPr>
                <w:rFonts w:ascii="Arial" w:hAnsi="Arial"/>
                <w:b/>
                <w:sz w:val="20"/>
              </w:rPr>
              <w:t>Topology</w:t>
            </w:r>
          </w:p>
        </w:tc>
        <w:tc>
          <w:tcPr>
            <w:tcW w:type="dxa" w:w="864"/>
          </w:tcPr>
          <w:p>
            <w:pPr>
              <w:jc w:val="center"/>
            </w:pPr>
            <w:r/>
            <w:r>
              <w:rPr>
                <w:rFonts w:ascii="Arial" w:hAnsi="Arial"/>
                <w:b/>
                <w:sz w:val="20"/>
              </w:rPr>
              <w:t>Type</w:t>
            </w:r>
          </w:p>
        </w:tc>
        <w:tc>
          <w:tcPr>
            <w:tcW w:type="dxa" w:w="1008"/>
          </w:tcPr>
          <w:p>
            <w:pPr>
              <w:jc w:val="center"/>
            </w:pPr>
            <w:r/>
            <w:r>
              <w:rPr>
                <w:rFonts w:ascii="Arial" w:hAnsi="Arial"/>
                <w:b/>
                <w:sz w:val="20"/>
              </w:rPr>
              <w:t>Accuracy</w:t>
            </w:r>
          </w:p>
        </w:tc>
        <w:tc>
          <w:tcPr>
            <w:tcW w:type="dxa" w:w="1584"/>
          </w:tcPr>
          <w:p>
            <w:pPr>
              <w:jc w:val="center"/>
            </w:pPr>
            <w:r/>
            <w:r>
              <w:rPr>
                <w:rFonts w:ascii="Arial" w:hAnsi="Arial"/>
                <w:b/>
                <w:sz w:val="20"/>
              </w:rPr>
              <w:t>MetaGate MLU</w:t>
            </w:r>
          </w:p>
        </w:tc>
        <w:tc>
          <w:tcPr>
            <w:tcW w:type="dxa" w:w="1584"/>
          </w:tcPr>
          <w:p>
            <w:pPr>
              <w:jc w:val="center"/>
            </w:pPr>
            <w:r/>
            <w:r>
              <w:rPr>
                <w:rFonts w:ascii="Arial" w:hAnsi="Arial"/>
                <w:b/>
                <w:sz w:val="20"/>
              </w:rPr>
              <w:t>Oracle MLU</w:t>
            </w:r>
          </w:p>
        </w:tc>
        <w:tc>
          <w:tcPr>
            <w:tcW w:type="dxa" w:w="864"/>
          </w:tcPr>
          <w:p>
            <w:pPr>
              <w:jc w:val="center"/>
            </w:pPr>
            <w:r/>
            <w:r>
              <w:rPr>
                <w:rFonts w:ascii="Arial" w:hAnsi="Arial"/>
                <w:b/>
                <w:sz w:val="20"/>
              </w:rPr>
              <w:t>Gap</w:t>
            </w:r>
          </w:p>
        </w:tc>
        <w:tc>
          <w:tcPr>
            <w:tcW w:type="dxa" w:w="720"/>
          </w:tcPr>
          <w:p>
            <w:pPr>
              <w:jc w:val="center"/>
            </w:pPr>
            <w:r/>
            <w:r>
              <w:rPr>
                <w:rFonts w:ascii="Arial" w:hAnsi="Arial"/>
                <w:b/>
                <w:sz w:val="20"/>
              </w:rPr>
              <w:t>GNN%</w:t>
            </w:r>
          </w:p>
        </w:tc>
        <w:tc>
          <w:tcPr>
            <w:tcW w:type="dxa" w:w="1008"/>
          </w:tcPr>
          <w:p>
            <w:pPr>
              <w:jc w:val="center"/>
            </w:pPr>
            <w:r/>
            <w:r>
              <w:rPr>
                <w:rFonts w:ascii="Arial" w:hAnsi="Arial"/>
                <w:b/>
                <w:sz w:val="20"/>
              </w:rPr>
              <w:t>Switches</w:t>
            </w:r>
          </w:p>
        </w:tc>
      </w:tr>
      <w:tr>
        <w:tc>
          <w:tcPr>
            <w:tcW w:type="dxa" w:w="1440"/>
          </w:tcPr>
          <w:p>
            <w:pPr>
              <w:jc w:val="center"/>
            </w:pPr>
            <w:r/>
            <w:r>
              <w:rPr>
                <w:rFonts w:ascii="Arial" w:hAnsi="Arial"/>
                <w:sz w:val="20"/>
              </w:rPr>
              <w:t>Abilene</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40.0%</w:t>
            </w:r>
          </w:p>
        </w:tc>
        <w:tc>
          <w:tcPr>
            <w:tcW w:type="dxa" w:w="1584"/>
          </w:tcPr>
          <w:p>
            <w:pPr>
              <w:jc w:val="center"/>
            </w:pPr>
            <w:r/>
            <w:r>
              <w:rPr>
                <w:rFonts w:ascii="Arial" w:hAnsi="Arial"/>
                <w:sz w:val="20"/>
              </w:rPr>
              <w:t>0.0546</w:t>
            </w:r>
          </w:p>
        </w:tc>
        <w:tc>
          <w:tcPr>
            <w:tcW w:type="dxa" w:w="1584"/>
          </w:tcPr>
          <w:p>
            <w:pPr>
              <w:jc w:val="center"/>
            </w:pPr>
            <w:r/>
            <w:r>
              <w:rPr>
                <w:rFonts w:ascii="Arial" w:hAnsi="Arial"/>
                <w:sz w:val="20"/>
              </w:rPr>
              <w:t>0.0546</w:t>
            </w:r>
          </w:p>
        </w:tc>
        <w:tc>
          <w:tcPr>
            <w:tcW w:type="dxa" w:w="864"/>
          </w:tcPr>
          <w:p>
            <w:pPr>
              <w:jc w:val="center"/>
            </w:pPr>
            <w:r/>
            <w:r>
              <w:rPr>
                <w:rFonts w:ascii="Arial" w:hAnsi="Arial"/>
                <w:sz w:val="20"/>
              </w:rPr>
              <w:t>+0.00%</w:t>
            </w:r>
          </w:p>
        </w:tc>
        <w:tc>
          <w:tcPr>
            <w:tcW w:type="dxa" w:w="720"/>
          </w:tcPr>
          <w:p>
            <w:pPr>
              <w:jc w:val="center"/>
            </w:pPr>
            <w:r/>
            <w:r>
              <w:rPr>
                <w:rFonts w:ascii="Arial" w:hAnsi="Arial"/>
                <w:sz w:val="20"/>
              </w:rPr>
              <w:t>0%</w:t>
            </w:r>
          </w:p>
        </w:tc>
        <w:tc>
          <w:tcPr>
            <w:tcW w:type="dxa" w:w="1008"/>
          </w:tcPr>
          <w:p>
            <w:pPr>
              <w:jc w:val="center"/>
            </w:pPr>
            <w:r/>
            <w:r>
              <w:rPr>
                <w:rFonts w:ascii="Arial" w:hAnsi="Arial"/>
                <w:sz w:val="20"/>
              </w:rPr>
              <w:t>28</w:t>
            </w:r>
          </w:p>
        </w:tc>
      </w:tr>
      <w:tr>
        <w:tc>
          <w:tcPr>
            <w:tcW w:type="dxa" w:w="1440"/>
          </w:tcPr>
          <w:p>
            <w:pPr>
              <w:jc w:val="center"/>
            </w:pPr>
            <w:r/>
            <w:r>
              <w:rPr>
                <w:rFonts w:ascii="Arial" w:hAnsi="Arial"/>
                <w:sz w:val="20"/>
              </w:rPr>
              <w:t>GEANT</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82.7%</w:t>
            </w:r>
          </w:p>
        </w:tc>
        <w:tc>
          <w:tcPr>
            <w:tcW w:type="dxa" w:w="1584"/>
          </w:tcPr>
          <w:p>
            <w:pPr>
              <w:jc w:val="center"/>
            </w:pPr>
            <w:r/>
            <w:r>
              <w:rPr>
                <w:rFonts w:ascii="Arial" w:hAnsi="Arial"/>
                <w:sz w:val="20"/>
              </w:rPr>
              <w:t>0.1602</w:t>
            </w:r>
          </w:p>
        </w:tc>
        <w:tc>
          <w:tcPr>
            <w:tcW w:type="dxa" w:w="1584"/>
          </w:tcPr>
          <w:p>
            <w:pPr>
              <w:jc w:val="center"/>
            </w:pPr>
            <w:r/>
            <w:r>
              <w:rPr>
                <w:rFonts w:ascii="Arial" w:hAnsi="Arial"/>
                <w:sz w:val="20"/>
              </w:rPr>
              <w:t>0.1602</w:t>
            </w:r>
          </w:p>
        </w:tc>
        <w:tc>
          <w:tcPr>
            <w:tcW w:type="dxa" w:w="864"/>
          </w:tcPr>
          <w:p>
            <w:pPr>
              <w:jc w:val="center"/>
            </w:pPr>
            <w:r/>
            <w:r>
              <w:rPr>
                <w:rFonts w:ascii="Arial" w:hAnsi="Arial"/>
                <w:sz w:val="20"/>
              </w:rPr>
              <w:t>+0.00%</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CERNET</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89.3%</w:t>
            </w:r>
          </w:p>
        </w:tc>
        <w:tc>
          <w:tcPr>
            <w:tcW w:type="dxa" w:w="1584"/>
          </w:tcPr>
          <w:p>
            <w:pPr>
              <w:jc w:val="center"/>
            </w:pPr>
            <w:r/>
            <w:r>
              <w:rPr>
                <w:rFonts w:ascii="Arial" w:hAnsi="Arial"/>
                <w:sz w:val="20"/>
              </w:rPr>
              <w:t>1722.69</w:t>
            </w:r>
          </w:p>
        </w:tc>
        <w:tc>
          <w:tcPr>
            <w:tcW w:type="dxa" w:w="1584"/>
          </w:tcPr>
          <w:p>
            <w:pPr>
              <w:jc w:val="center"/>
            </w:pPr>
            <w:r/>
            <w:r>
              <w:rPr>
                <w:rFonts w:ascii="Arial" w:hAnsi="Arial"/>
                <w:sz w:val="20"/>
              </w:rPr>
              <w:t>1721.73</w:t>
            </w:r>
          </w:p>
        </w:tc>
        <w:tc>
          <w:tcPr>
            <w:tcW w:type="dxa" w:w="864"/>
          </w:tcPr>
          <w:p>
            <w:pPr>
              <w:jc w:val="center"/>
            </w:pPr>
            <w:r/>
            <w:r>
              <w:rPr>
                <w:rFonts w:ascii="Arial" w:hAnsi="Arial"/>
                <w:sz w:val="20"/>
              </w:rPr>
              <w:t>+0.06%</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Ebone</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24.0%</w:t>
            </w:r>
          </w:p>
        </w:tc>
        <w:tc>
          <w:tcPr>
            <w:tcW w:type="dxa" w:w="1584"/>
          </w:tcPr>
          <w:p>
            <w:pPr>
              <w:jc w:val="center"/>
            </w:pPr>
            <w:r/>
            <w:r>
              <w:rPr>
                <w:rFonts w:ascii="Arial" w:hAnsi="Arial"/>
                <w:sz w:val="20"/>
              </w:rPr>
              <w:t>379.59</w:t>
            </w:r>
          </w:p>
        </w:tc>
        <w:tc>
          <w:tcPr>
            <w:tcW w:type="dxa" w:w="1584"/>
          </w:tcPr>
          <w:p>
            <w:pPr>
              <w:jc w:val="center"/>
            </w:pPr>
            <w:r/>
            <w:r>
              <w:rPr>
                <w:rFonts w:ascii="Arial" w:hAnsi="Arial"/>
                <w:sz w:val="20"/>
              </w:rPr>
              <w:t>379.59</w:t>
            </w:r>
          </w:p>
        </w:tc>
        <w:tc>
          <w:tcPr>
            <w:tcW w:type="dxa" w:w="864"/>
          </w:tcPr>
          <w:p>
            <w:pPr>
              <w:jc w:val="center"/>
            </w:pPr>
            <w:r/>
            <w:r>
              <w:rPr>
                <w:rFonts w:ascii="Arial" w:hAnsi="Arial"/>
                <w:sz w:val="20"/>
              </w:rPr>
              <w:t>+0.00%</w:t>
            </w:r>
          </w:p>
        </w:tc>
        <w:tc>
          <w:tcPr>
            <w:tcW w:type="dxa" w:w="720"/>
          </w:tcPr>
          <w:p>
            <w:pPr>
              <w:jc w:val="center"/>
            </w:pPr>
            <w:r/>
            <w:r>
              <w:rPr>
                <w:rFonts w:ascii="Arial" w:hAnsi="Arial"/>
                <w:sz w:val="20"/>
              </w:rPr>
              <w:t>1%</w:t>
            </w:r>
          </w:p>
        </w:tc>
        <w:tc>
          <w:tcPr>
            <w:tcW w:type="dxa" w:w="1008"/>
          </w:tcPr>
          <w:p>
            <w:pPr>
              <w:jc w:val="center"/>
            </w:pPr>
            <w:r/>
            <w:r>
              <w:rPr>
                <w:rFonts w:ascii="Arial" w:hAnsi="Arial"/>
                <w:sz w:val="20"/>
              </w:rPr>
              <w:t>17</w:t>
            </w:r>
          </w:p>
        </w:tc>
      </w:tr>
      <w:tr>
        <w:tc>
          <w:tcPr>
            <w:tcW w:type="dxa" w:w="1440"/>
          </w:tcPr>
          <w:p>
            <w:pPr>
              <w:jc w:val="center"/>
            </w:pPr>
            <w:r/>
            <w:r>
              <w:rPr>
                <w:rFonts w:ascii="Arial" w:hAnsi="Arial"/>
                <w:sz w:val="20"/>
              </w:rPr>
              <w:t>Sprintlink</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66.7%</w:t>
            </w:r>
          </w:p>
        </w:tc>
        <w:tc>
          <w:tcPr>
            <w:tcW w:type="dxa" w:w="1584"/>
          </w:tcPr>
          <w:p>
            <w:pPr>
              <w:jc w:val="center"/>
            </w:pPr>
            <w:r/>
            <w:r>
              <w:rPr>
                <w:rFonts w:ascii="Arial" w:hAnsi="Arial"/>
                <w:sz w:val="20"/>
              </w:rPr>
              <w:t>880.26</w:t>
            </w:r>
          </w:p>
        </w:tc>
        <w:tc>
          <w:tcPr>
            <w:tcW w:type="dxa" w:w="1584"/>
          </w:tcPr>
          <w:p>
            <w:pPr>
              <w:jc w:val="center"/>
            </w:pPr>
            <w:r/>
            <w:r>
              <w:rPr>
                <w:rFonts w:ascii="Arial" w:hAnsi="Arial"/>
                <w:sz w:val="20"/>
              </w:rPr>
              <w:t>877.17</w:t>
            </w:r>
          </w:p>
        </w:tc>
        <w:tc>
          <w:tcPr>
            <w:tcW w:type="dxa" w:w="864"/>
          </w:tcPr>
          <w:p>
            <w:pPr>
              <w:jc w:val="center"/>
            </w:pPr>
            <w:r/>
            <w:r>
              <w:rPr>
                <w:rFonts w:ascii="Arial" w:hAnsi="Arial"/>
                <w:sz w:val="20"/>
              </w:rPr>
              <w:t>+0.35%</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Tiscali</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65.3%</w:t>
            </w:r>
          </w:p>
        </w:tc>
        <w:tc>
          <w:tcPr>
            <w:tcW w:type="dxa" w:w="1584"/>
          </w:tcPr>
          <w:p>
            <w:pPr>
              <w:jc w:val="center"/>
            </w:pPr>
            <w:r/>
            <w:r>
              <w:rPr>
                <w:rFonts w:ascii="Arial" w:hAnsi="Arial"/>
                <w:sz w:val="20"/>
              </w:rPr>
              <w:t>834.78</w:t>
            </w:r>
          </w:p>
        </w:tc>
        <w:tc>
          <w:tcPr>
            <w:tcW w:type="dxa" w:w="1584"/>
          </w:tcPr>
          <w:p>
            <w:pPr>
              <w:jc w:val="center"/>
            </w:pPr>
            <w:r/>
            <w:r>
              <w:rPr>
                <w:rFonts w:ascii="Arial" w:hAnsi="Arial"/>
                <w:sz w:val="20"/>
              </w:rPr>
              <w:t>831.93</w:t>
            </w:r>
          </w:p>
        </w:tc>
        <w:tc>
          <w:tcPr>
            <w:tcW w:type="dxa" w:w="864"/>
          </w:tcPr>
          <w:p>
            <w:pPr>
              <w:jc w:val="center"/>
            </w:pPr>
            <w:r/>
            <w:r>
              <w:rPr>
                <w:rFonts w:ascii="Arial" w:hAnsi="Arial"/>
                <w:sz w:val="20"/>
              </w:rPr>
              <w:t>+0.34%</w:t>
            </w:r>
          </w:p>
        </w:tc>
        <w:tc>
          <w:tcPr>
            <w:tcW w:type="dxa" w:w="720"/>
          </w:tcPr>
          <w:p>
            <w:pPr>
              <w:jc w:val="center"/>
            </w:pPr>
            <w:r/>
            <w:r>
              <w:rPr>
                <w:rFonts w:ascii="Arial" w:hAnsi="Arial"/>
                <w:sz w:val="20"/>
              </w:rPr>
              <w:t>0%</w:t>
            </w:r>
          </w:p>
        </w:tc>
        <w:tc>
          <w:tcPr>
            <w:tcW w:type="dxa" w:w="1008"/>
          </w:tcPr>
          <w:p>
            <w:pPr>
              <w:jc w:val="center"/>
            </w:pPr>
            <w:r/>
            <w:r>
              <w:rPr>
                <w:rFonts w:ascii="Arial" w:hAnsi="Arial"/>
                <w:sz w:val="20"/>
              </w:rPr>
              <w:t>4</w:t>
            </w:r>
          </w:p>
        </w:tc>
      </w:tr>
      <w:tr>
        <w:tc>
          <w:tcPr>
            <w:tcW w:type="dxa" w:w="1440"/>
          </w:tcPr>
          <w:p>
            <w:pPr>
              <w:jc w:val="center"/>
            </w:pPr>
            <w:r/>
            <w:r>
              <w:rPr>
                <w:rFonts w:ascii="Arial" w:hAnsi="Arial"/>
                <w:sz w:val="20"/>
              </w:rPr>
              <w:t>Germany50</w:t>
            </w:r>
          </w:p>
        </w:tc>
        <w:tc>
          <w:tcPr>
            <w:tcW w:type="dxa" w:w="864"/>
          </w:tcPr>
          <w:p>
            <w:pPr>
              <w:jc w:val="center"/>
            </w:pPr>
            <w:r/>
            <w:r>
              <w:rPr>
                <w:rFonts w:ascii="Arial" w:hAnsi="Arial"/>
                <w:sz w:val="20"/>
              </w:rPr>
              <w:t>UNSEEN</w:t>
            </w:r>
          </w:p>
        </w:tc>
        <w:tc>
          <w:tcPr>
            <w:tcW w:type="dxa" w:w="1008"/>
          </w:tcPr>
          <w:p>
            <w:pPr>
              <w:jc w:val="center"/>
            </w:pPr>
            <w:r/>
            <w:r>
              <w:rPr>
                <w:rFonts w:ascii="Arial" w:hAnsi="Arial"/>
                <w:sz w:val="20"/>
              </w:rPr>
              <w:t>65.9%</w:t>
            </w:r>
          </w:p>
        </w:tc>
        <w:tc>
          <w:tcPr>
            <w:tcW w:type="dxa" w:w="1584"/>
          </w:tcPr>
          <w:p>
            <w:pPr>
              <w:jc w:val="center"/>
            </w:pPr>
            <w:r/>
            <w:r>
              <w:rPr>
                <w:rFonts w:ascii="Arial" w:hAnsi="Arial"/>
                <w:sz w:val="20"/>
              </w:rPr>
              <w:t>18.99</w:t>
            </w:r>
          </w:p>
        </w:tc>
        <w:tc>
          <w:tcPr>
            <w:tcW w:type="dxa" w:w="1584"/>
          </w:tcPr>
          <w:p>
            <w:pPr>
              <w:jc w:val="center"/>
            </w:pPr>
            <w:r/>
            <w:r>
              <w:rPr>
                <w:rFonts w:ascii="Arial" w:hAnsi="Arial"/>
                <w:sz w:val="20"/>
              </w:rPr>
              <w:t>18.93</w:t>
            </w:r>
          </w:p>
        </w:tc>
        <w:tc>
          <w:tcPr>
            <w:tcW w:type="dxa" w:w="864"/>
          </w:tcPr>
          <w:p>
            <w:pPr>
              <w:jc w:val="center"/>
            </w:pPr>
            <w:r/>
            <w:r>
              <w:rPr>
                <w:rFonts w:ascii="Arial" w:hAnsi="Arial"/>
                <w:sz w:val="20"/>
              </w:rPr>
              <w:t>+0.33%</w:t>
            </w:r>
          </w:p>
        </w:tc>
        <w:tc>
          <w:tcPr>
            <w:tcW w:type="dxa" w:w="720"/>
          </w:tcPr>
          <w:p>
            <w:pPr>
              <w:jc w:val="center"/>
            </w:pPr>
            <w:r/>
            <w:r>
              <w:rPr>
                <w:rFonts w:ascii="Arial" w:hAnsi="Arial"/>
                <w:sz w:val="20"/>
              </w:rPr>
              <w:t>64%</w:t>
            </w:r>
          </w:p>
        </w:tc>
        <w:tc>
          <w:tcPr>
            <w:tcW w:type="dxa" w:w="1008"/>
          </w:tcPr>
          <w:p>
            <w:pPr>
              <w:jc w:val="center"/>
            </w:pPr>
            <w:r/>
            <w:r>
              <w:rPr>
                <w:rFonts w:ascii="Arial" w:hAnsi="Arial"/>
                <w:sz w:val="20"/>
              </w:rPr>
              <w:t>7</w:t>
            </w:r>
          </w:p>
        </w:tc>
      </w:tr>
      <w:tr>
        <w:tc>
          <w:tcPr>
            <w:tcW w:type="dxa" w:w="1440"/>
          </w:tcPr>
          <w:p>
            <w:pPr>
              <w:jc w:val="center"/>
            </w:pPr>
            <w:r/>
            <w:r>
              <w:rPr>
                <w:rFonts w:ascii="Arial" w:hAnsi="Arial"/>
                <w:sz w:val="20"/>
              </w:rPr>
              <w:t>VtlWavenet</w:t>
            </w:r>
          </w:p>
        </w:tc>
        <w:tc>
          <w:tcPr>
            <w:tcW w:type="dxa" w:w="864"/>
          </w:tcPr>
          <w:p>
            <w:pPr>
              <w:jc w:val="center"/>
            </w:pPr>
            <w:r/>
            <w:r>
              <w:rPr>
                <w:rFonts w:ascii="Arial" w:hAnsi="Arial"/>
                <w:sz w:val="20"/>
              </w:rPr>
              <w:t>UNSEEN</w:t>
            </w:r>
          </w:p>
        </w:tc>
        <w:tc>
          <w:tcPr>
            <w:tcW w:type="dxa" w:w="1008"/>
          </w:tcPr>
          <w:p>
            <w:pPr>
              <w:jc w:val="center"/>
            </w:pPr>
            <w:r/>
            <w:r>
              <w:rPr>
                <w:rFonts w:ascii="Arial" w:hAnsi="Arial"/>
                <w:sz w:val="20"/>
              </w:rPr>
              <w:t>50.7%</w:t>
            </w:r>
          </w:p>
        </w:tc>
        <w:tc>
          <w:tcPr>
            <w:tcW w:type="dxa" w:w="1584"/>
          </w:tcPr>
          <w:p>
            <w:pPr>
              <w:jc w:val="center"/>
            </w:pPr>
            <w:r/>
            <w:r>
              <w:rPr>
                <w:rFonts w:ascii="Arial" w:hAnsi="Arial"/>
                <w:sz w:val="20"/>
              </w:rPr>
              <w:t>12251.81</w:t>
            </w:r>
          </w:p>
        </w:tc>
        <w:tc>
          <w:tcPr>
            <w:tcW w:type="dxa" w:w="1584"/>
          </w:tcPr>
          <w:p>
            <w:pPr>
              <w:jc w:val="center"/>
            </w:pPr>
            <w:r/>
            <w:r>
              <w:rPr>
                <w:rFonts w:ascii="Arial" w:hAnsi="Arial"/>
                <w:sz w:val="20"/>
              </w:rPr>
              <w:t>12244.84</w:t>
            </w:r>
          </w:p>
        </w:tc>
        <w:tc>
          <w:tcPr>
            <w:tcW w:type="dxa" w:w="864"/>
          </w:tcPr>
          <w:p>
            <w:pPr>
              <w:jc w:val="center"/>
            </w:pPr>
            <w:r/>
            <w:r>
              <w:rPr>
                <w:rFonts w:ascii="Arial" w:hAnsi="Arial"/>
                <w:sz w:val="20"/>
              </w:rPr>
              <w:t>+0.06%</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bl>
    <w:p/>
    <w:p>
      <w:r>
        <w:rPr>
          <w:b/>
        </w:rPr>
        <w:t xml:space="preserve">Overall accuracy: </w:t>
      </w:r>
      <w:r>
        <w:t xml:space="preserve">60.3%. </w:t>
      </w:r>
      <w:r>
        <w:rPr>
          <w:b/>
        </w:rPr>
        <w:t xml:space="preserve">Known topology accuracy: </w:t>
      </w:r>
      <w:r>
        <w:t xml:space="preserve">61.3%. </w:t>
      </w:r>
      <w:r>
        <w:rPr>
          <w:b/>
        </w:rPr>
        <w:t xml:space="preserve">Unseen topology accuracy: </w:t>
      </w:r>
      <w:r>
        <w:t>56.3%.</w:t>
      </w:r>
    </w:p>
    <w:p>
      <w:r>
        <w:t>Three topologies (Abilene, GEANT, Ebone) achieve +0.00% oracle gap, meaning the MetaGate's expert selection produces identical MLU to the oracle's best choice. The maximum oracle gap across all 8 topologies is +0.35% (Sprintlink).</w:t>
      </w:r>
    </w:p>
    <w:p>
      <w:pPr>
        <w:pStyle w:val="Heading1"/>
      </w:pPr>
      <w:r>
        <w:t>6. Germany50 (Unseen) -- Before vs After Calibration</w:t>
      </w:r>
    </w:p>
    <w:p>
      <w:pPr>
        <w:pStyle w:val="Heading2"/>
      </w:pPr>
      <w:r>
        <w:t>6.1 The Problem</w:t>
      </w:r>
    </w:p>
    <w:p>
      <w:r>
        <w:t>Germany50 is a 50-node topology that was never seen during gate-weight training. The oracle shows GNN is the best expert for 42/44 test timesteps (95.5%). However, without calibration, the MLP gate selects Bottleneck 100% of the time because: (a) 65% of training labels are Bottleneck, creating a strong prior; (b) Germany50's features are out-of-distribution for the MLP; (c) the MLP's softmax outputs are overconfident.</w:t>
      </w:r>
    </w:p>
    <w:p>
      <w:pPr>
        <w:pStyle w:val="Heading2"/>
      </w:pPr>
      <w:r>
        <w:t>6.2 Before vs After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pPr>
              <w:jc w:val="center"/>
            </w:pPr>
            <w:r/>
            <w:r>
              <w:rPr>
                <w:rFonts w:ascii="Arial" w:hAnsi="Arial"/>
                <w:b/>
                <w:sz w:val="20"/>
              </w:rPr>
              <w:t>Metric</w:t>
            </w:r>
          </w:p>
        </w:tc>
        <w:tc>
          <w:tcPr>
            <w:tcW w:type="dxa" w:w="2880"/>
          </w:tcPr>
          <w:p>
            <w:pPr>
              <w:jc w:val="center"/>
            </w:pPr>
            <w:r/>
            <w:r>
              <w:rPr>
                <w:rFonts w:ascii="Arial" w:hAnsi="Arial"/>
                <w:b/>
                <w:sz w:val="20"/>
              </w:rPr>
              <w:t>Before Calibration</w:t>
            </w:r>
          </w:p>
        </w:tc>
        <w:tc>
          <w:tcPr>
            <w:tcW w:type="dxa" w:w="2880"/>
          </w:tcPr>
          <w:p>
            <w:pPr>
              <w:jc w:val="center"/>
            </w:pPr>
            <w:r/>
            <w:r>
              <w:rPr>
                <w:rFonts w:ascii="Arial" w:hAnsi="Arial"/>
                <w:b/>
                <w:sz w:val="20"/>
              </w:rPr>
              <w:t>After Calibration</w:t>
            </w:r>
          </w:p>
        </w:tc>
      </w:tr>
      <w:tr>
        <w:tc>
          <w:tcPr>
            <w:tcW w:type="dxa" w:w="2592"/>
          </w:tcPr>
          <w:p>
            <w:pPr>
              <w:jc w:val="center"/>
            </w:pPr>
            <w:r/>
            <w:r>
              <w:rPr>
                <w:rFonts w:ascii="Arial" w:hAnsi="Arial"/>
                <w:sz w:val="20"/>
              </w:rPr>
              <w:t>BN selections</w:t>
            </w:r>
          </w:p>
        </w:tc>
        <w:tc>
          <w:tcPr>
            <w:tcW w:type="dxa" w:w="2880"/>
          </w:tcPr>
          <w:p>
            <w:pPr>
              <w:jc w:val="center"/>
            </w:pPr>
            <w:r/>
            <w:r>
              <w:rPr>
                <w:rFonts w:ascii="Arial" w:hAnsi="Arial"/>
                <w:sz w:val="20"/>
              </w:rPr>
              <w:t>44/44 (100%)</w:t>
            </w:r>
          </w:p>
        </w:tc>
        <w:tc>
          <w:tcPr>
            <w:tcW w:type="dxa" w:w="2880"/>
          </w:tcPr>
          <w:p>
            <w:pPr>
              <w:jc w:val="center"/>
            </w:pPr>
            <w:r/>
            <w:r>
              <w:rPr>
                <w:rFonts w:ascii="Arial" w:hAnsi="Arial"/>
                <w:sz w:val="20"/>
              </w:rPr>
              <w:t>16/44 (36%)</w:t>
            </w:r>
          </w:p>
        </w:tc>
      </w:tr>
      <w:tr>
        <w:tc>
          <w:tcPr>
            <w:tcW w:type="dxa" w:w="2592"/>
          </w:tcPr>
          <w:p>
            <w:pPr>
              <w:jc w:val="center"/>
            </w:pPr>
            <w:r/>
            <w:r>
              <w:rPr>
                <w:rFonts w:ascii="Arial" w:hAnsi="Arial"/>
                <w:sz w:val="20"/>
              </w:rPr>
              <w:t>GNN selections</w:t>
            </w:r>
          </w:p>
        </w:tc>
        <w:tc>
          <w:tcPr>
            <w:tcW w:type="dxa" w:w="2880"/>
          </w:tcPr>
          <w:p>
            <w:pPr>
              <w:jc w:val="center"/>
            </w:pPr>
            <w:r/>
            <w:r>
              <w:rPr>
                <w:rFonts w:ascii="Arial" w:hAnsi="Arial"/>
                <w:sz w:val="20"/>
              </w:rPr>
              <w:t>0/44 (0%)</w:t>
            </w:r>
          </w:p>
        </w:tc>
        <w:tc>
          <w:tcPr>
            <w:tcW w:type="dxa" w:w="2880"/>
          </w:tcPr>
          <w:p>
            <w:pPr>
              <w:jc w:val="center"/>
            </w:pPr>
            <w:r/>
            <w:r>
              <w:rPr>
                <w:rFonts w:ascii="Arial" w:hAnsi="Arial"/>
                <w:sz w:val="20"/>
              </w:rPr>
              <w:t>28/44 (64%)</w:t>
            </w:r>
          </w:p>
        </w:tc>
      </w:tr>
      <w:tr>
        <w:tc>
          <w:tcPr>
            <w:tcW w:type="dxa" w:w="2592"/>
          </w:tcPr>
          <w:p>
            <w:pPr>
              <w:jc w:val="center"/>
            </w:pPr>
            <w:r/>
            <w:r>
              <w:rPr>
                <w:rFonts w:ascii="Arial" w:hAnsi="Arial"/>
                <w:sz w:val="20"/>
              </w:rPr>
              <w:t>GNN selection rate</w:t>
            </w:r>
          </w:p>
        </w:tc>
        <w:tc>
          <w:tcPr>
            <w:tcW w:type="dxa" w:w="2880"/>
          </w:tcPr>
          <w:p>
            <w:pPr>
              <w:jc w:val="center"/>
            </w:pPr>
            <w:r/>
            <w:r>
              <w:rPr>
                <w:rFonts w:ascii="Arial" w:hAnsi="Arial"/>
                <w:sz w:val="20"/>
              </w:rPr>
              <w:t>0.0%</w:t>
            </w:r>
          </w:p>
        </w:tc>
        <w:tc>
          <w:tcPr>
            <w:tcW w:type="dxa" w:w="2880"/>
          </w:tcPr>
          <w:p>
            <w:pPr>
              <w:jc w:val="center"/>
            </w:pPr>
            <w:r/>
            <w:r>
              <w:rPr>
                <w:rFonts w:ascii="Arial" w:hAnsi="Arial"/>
                <w:sz w:val="20"/>
              </w:rPr>
              <w:t>63.6%</w:t>
            </w:r>
          </w:p>
        </w:tc>
      </w:tr>
      <w:tr>
        <w:tc>
          <w:tcPr>
            <w:tcW w:type="dxa" w:w="2592"/>
          </w:tcPr>
          <w:p>
            <w:pPr>
              <w:jc w:val="center"/>
            </w:pPr>
            <w:r/>
            <w:r>
              <w:rPr>
                <w:rFonts w:ascii="Arial" w:hAnsi="Arial"/>
                <w:sz w:val="20"/>
              </w:rPr>
              <w:t>Selector switches</w:t>
            </w:r>
          </w:p>
        </w:tc>
        <w:tc>
          <w:tcPr>
            <w:tcW w:type="dxa" w:w="2880"/>
          </w:tcPr>
          <w:p>
            <w:pPr>
              <w:jc w:val="center"/>
            </w:pPr>
            <w:r/>
            <w:r>
              <w:rPr>
                <w:rFonts w:ascii="Arial" w:hAnsi="Arial"/>
                <w:sz w:val="20"/>
              </w:rPr>
              <w:t>0/43</w:t>
            </w:r>
          </w:p>
        </w:tc>
        <w:tc>
          <w:tcPr>
            <w:tcW w:type="dxa" w:w="2880"/>
          </w:tcPr>
          <w:p>
            <w:pPr>
              <w:jc w:val="center"/>
            </w:pPr>
            <w:r/>
            <w:r>
              <w:rPr>
                <w:rFonts w:ascii="Arial" w:hAnsi="Arial"/>
                <w:sz w:val="20"/>
              </w:rPr>
              <w:t>7/43</w:t>
            </w:r>
          </w:p>
        </w:tc>
      </w:tr>
      <w:tr>
        <w:tc>
          <w:tcPr>
            <w:tcW w:type="dxa" w:w="2592"/>
          </w:tcPr>
          <w:p>
            <w:pPr>
              <w:jc w:val="center"/>
            </w:pPr>
            <w:r/>
            <w:r>
              <w:rPr>
                <w:rFonts w:ascii="Arial" w:hAnsi="Arial"/>
                <w:sz w:val="20"/>
              </w:rPr>
              <w:t>MetaGate MLU</w:t>
            </w:r>
          </w:p>
        </w:tc>
        <w:tc>
          <w:tcPr>
            <w:tcW w:type="dxa" w:w="2880"/>
          </w:tcPr>
          <w:p>
            <w:pPr>
              <w:jc w:val="center"/>
            </w:pPr>
            <w:r/>
            <w:r>
              <w:rPr>
                <w:rFonts w:ascii="Arial" w:hAnsi="Arial"/>
                <w:sz w:val="20"/>
              </w:rPr>
              <w:t>19.227</w:t>
            </w:r>
          </w:p>
        </w:tc>
        <w:tc>
          <w:tcPr>
            <w:tcW w:type="dxa" w:w="2880"/>
          </w:tcPr>
          <w:p>
            <w:pPr>
              <w:jc w:val="center"/>
            </w:pPr>
            <w:r/>
            <w:r>
              <w:rPr>
                <w:rFonts w:ascii="Arial" w:hAnsi="Arial"/>
                <w:sz w:val="20"/>
              </w:rPr>
              <w:t>18.992</w:t>
            </w:r>
          </w:p>
        </w:tc>
      </w:tr>
      <w:tr>
        <w:tc>
          <w:tcPr>
            <w:tcW w:type="dxa" w:w="2592"/>
          </w:tcPr>
          <w:p>
            <w:pPr>
              <w:jc w:val="center"/>
            </w:pPr>
            <w:r/>
            <w:r>
              <w:rPr>
                <w:rFonts w:ascii="Arial" w:hAnsi="Arial"/>
                <w:sz w:val="20"/>
              </w:rPr>
              <w:t>Oracle MLU</w:t>
            </w:r>
          </w:p>
        </w:tc>
        <w:tc>
          <w:tcPr>
            <w:tcW w:type="dxa" w:w="2880"/>
          </w:tcPr>
          <w:p>
            <w:pPr>
              <w:jc w:val="center"/>
            </w:pPr>
            <w:r/>
            <w:r>
              <w:rPr>
                <w:rFonts w:ascii="Arial" w:hAnsi="Arial"/>
                <w:sz w:val="20"/>
              </w:rPr>
              <w:t>18.929</w:t>
            </w:r>
          </w:p>
        </w:tc>
        <w:tc>
          <w:tcPr>
            <w:tcW w:type="dxa" w:w="2880"/>
          </w:tcPr>
          <w:p>
            <w:pPr>
              <w:jc w:val="center"/>
            </w:pPr>
            <w:r/>
            <w:r>
              <w:rPr>
                <w:rFonts w:ascii="Arial" w:hAnsi="Arial"/>
                <w:sz w:val="20"/>
              </w:rPr>
              <w:t>18.929</w:t>
            </w:r>
          </w:p>
        </w:tc>
      </w:tr>
      <w:tr>
        <w:tc>
          <w:tcPr>
            <w:tcW w:type="dxa" w:w="2592"/>
          </w:tcPr>
          <w:p>
            <w:pPr>
              <w:jc w:val="center"/>
            </w:pPr>
            <w:r/>
            <w:r>
              <w:rPr>
                <w:rFonts w:ascii="Arial" w:hAnsi="Arial"/>
                <w:sz w:val="20"/>
              </w:rPr>
              <w:t>Oracle gap</w:t>
            </w:r>
          </w:p>
        </w:tc>
        <w:tc>
          <w:tcPr>
            <w:tcW w:type="dxa" w:w="2880"/>
          </w:tcPr>
          <w:p>
            <w:pPr>
              <w:jc w:val="center"/>
            </w:pPr>
            <w:r/>
            <w:r>
              <w:rPr>
                <w:rFonts w:ascii="Arial" w:hAnsi="Arial"/>
                <w:sz w:val="20"/>
              </w:rPr>
              <w:t>+1.57%</w:t>
            </w:r>
          </w:p>
        </w:tc>
        <w:tc>
          <w:tcPr>
            <w:tcW w:type="dxa" w:w="2880"/>
          </w:tcPr>
          <w:p>
            <w:pPr>
              <w:jc w:val="center"/>
            </w:pPr>
            <w:r/>
            <w:r>
              <w:rPr>
                <w:rFonts w:ascii="Arial" w:hAnsi="Arial"/>
                <w:sz w:val="20"/>
              </w:rPr>
              <w:t>+0.33%</w:t>
            </w:r>
          </w:p>
        </w:tc>
      </w:tr>
      <w:tr>
        <w:tc>
          <w:tcPr>
            <w:tcW w:type="dxa" w:w="2592"/>
          </w:tcPr>
          <w:p>
            <w:pPr>
              <w:jc w:val="center"/>
            </w:pPr>
            <w:r/>
            <w:r>
              <w:rPr>
                <w:rFonts w:ascii="Arial" w:hAnsi="Arial"/>
                <w:sz w:val="20"/>
              </w:rPr>
              <w:t>Accuracy</w:t>
            </w:r>
          </w:p>
        </w:tc>
        <w:tc>
          <w:tcPr>
            <w:tcW w:type="dxa" w:w="2880"/>
          </w:tcPr>
          <w:p>
            <w:pPr>
              <w:jc w:val="center"/>
            </w:pPr>
            <w:r/>
            <w:r>
              <w:rPr>
                <w:rFonts w:ascii="Arial" w:hAnsi="Arial"/>
                <w:sz w:val="20"/>
              </w:rPr>
              <w:t>2.3%</w:t>
            </w:r>
          </w:p>
        </w:tc>
        <w:tc>
          <w:tcPr>
            <w:tcW w:type="dxa" w:w="2880"/>
          </w:tcPr>
          <w:p>
            <w:pPr>
              <w:jc w:val="center"/>
            </w:pPr>
            <w:r/>
            <w:r>
              <w:rPr>
                <w:rFonts w:ascii="Arial" w:hAnsi="Arial"/>
                <w:sz w:val="20"/>
              </w:rPr>
              <w:t>65.9%</w:t>
            </w:r>
          </w:p>
        </w:tc>
      </w:tr>
    </w:tbl>
    <w:p/>
    <w:p>
      <w:pPr>
        <w:pStyle w:val="Heading2"/>
      </w:pPr>
      <w:r>
        <w:t>6.3 Why Calibration Fixed It</w:t>
      </w:r>
    </w:p>
    <w:p>
      <w:r>
        <w:t>The 10-sample calibration phase on Germany50 validation TMs reveals that GNN wins 8/10 times (prior = 0.79). When raised to alpha = 5, the GNN prior becomes 0.97 while the BN prior drops to 0.00002. This 48,000x ratio is sufficient to override the MLP's Bottleneck confidence on most timesteps. The gate now dynamically selects GNN when the calibration evidence supports it, and falls back to Bottleneck when the MLP is sufficiently confident (16/44 timesteps).</w:t>
      </w:r>
    </w:p>
    <w:p>
      <w:r>
        <w:t>The 7 selector switches across 43 transitions demonstrate genuine per-timestep dynamic behavior -- the gate is not simply replacing 'always BN' with 'always GNN'.</w:t>
      </w:r>
    </w:p>
    <w:p>
      <w:pPr>
        <w:pStyle w:val="Heading1"/>
      </w:pPr>
      <w:r>
        <w:t>7. VtlWavenet2011 (Unseen) -- Analysis</w:t>
      </w:r>
    </w:p>
    <w:p>
      <w:r>
        <w:t>VtlWavenet2011 (92 nodes) remains 100% Bottleneck despite a calibration prior favoring GNN (0.57). The MLP's BN confidence on this large topology is so extreme that even prior^5 cannot override it.</w:t>
      </w:r>
    </w:p>
    <w:p>
      <w:r>
        <w:rPr>
          <w:b/>
        </w:rPr>
        <w:t xml:space="preserve">However, this is near-optimal. </w:t>
      </w:r>
      <w:r>
        <w:t>The oracle distribution is 50.7% BN / 49.3% GNN -- almost exactly split. The mean BN MLU (12251.81) is actually lower than mean GNN MLU (12252.05). The oracle gap is only +0.06%, meaning the all-Bottleneck strategy loses almost nothing compared to the per-timestep oracle. The 'failure' to select GNN here has negligible practical impact.</w:t>
      </w:r>
    </w:p>
    <w:p>
      <w:pPr>
        <w:pStyle w:val="Heading1"/>
      </w:pPr>
      <w:r>
        <w:t>8. CERNET Topology -- Honest Documentation</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20"/>
              </w:rPr>
              <w:t>Property</w:t>
            </w:r>
          </w:p>
        </w:tc>
        <w:tc>
          <w:tcPr>
            <w:tcW w:type="dxa" w:w="7200"/>
          </w:tcPr>
          <w:p>
            <w:pPr>
              <w:jc w:val="center"/>
            </w:pPr>
            <w:r/>
            <w:r>
              <w:rPr>
                <w:rFonts w:ascii="Arial" w:hAnsi="Arial"/>
                <w:b/>
                <w:sz w:val="20"/>
              </w:rPr>
              <w:t>Value</w:t>
            </w:r>
          </w:p>
        </w:tc>
      </w:tr>
      <w:tr>
        <w:tc>
          <w:tcPr>
            <w:tcW w:type="dxa" w:w="2160"/>
          </w:tcPr>
          <w:p>
            <w:pPr>
              <w:jc w:val="center"/>
            </w:pPr>
            <w:r/>
            <w:r>
              <w:rPr>
                <w:rFonts w:ascii="Arial" w:hAnsi="Arial"/>
                <w:sz w:val="20"/>
              </w:rPr>
              <w:t>Source</w:t>
            </w:r>
          </w:p>
        </w:tc>
        <w:tc>
          <w:tcPr>
            <w:tcW w:type="dxa" w:w="7200"/>
          </w:tcPr>
          <w:p>
            <w:pPr>
              <w:jc w:val="center"/>
            </w:pPr>
            <w:r/>
            <w:r>
              <w:rPr>
                <w:rFonts w:ascii="Arial" w:hAnsi="Arial"/>
                <w:sz w:val="20"/>
              </w:rPr>
              <w:t>TopologyZoo (Cernet.graphml), NOT SNDlib</w:t>
            </w:r>
          </w:p>
        </w:tc>
      </w:tr>
      <w:tr>
        <w:tc>
          <w:tcPr>
            <w:tcW w:type="dxa" w:w="2160"/>
          </w:tcPr>
          <w:p>
            <w:pPr>
              <w:jc w:val="center"/>
            </w:pPr>
            <w:r/>
            <w:r>
              <w:rPr>
                <w:rFonts w:ascii="Arial" w:hAnsi="Arial"/>
                <w:sz w:val="20"/>
              </w:rPr>
              <w:t>Nodes</w:t>
            </w:r>
          </w:p>
        </w:tc>
        <w:tc>
          <w:tcPr>
            <w:tcW w:type="dxa" w:w="7200"/>
          </w:tcPr>
          <w:p>
            <w:pPr>
              <w:jc w:val="center"/>
            </w:pPr>
            <w:r/>
            <w:r>
              <w:rPr>
                <w:rFonts w:ascii="Arial" w:hAnsi="Arial"/>
                <w:sz w:val="20"/>
              </w:rPr>
              <w:t>41</w:t>
            </w:r>
          </w:p>
        </w:tc>
      </w:tr>
      <w:tr>
        <w:tc>
          <w:tcPr>
            <w:tcW w:type="dxa" w:w="2160"/>
          </w:tcPr>
          <w:p>
            <w:pPr>
              <w:jc w:val="center"/>
            </w:pPr>
            <w:r/>
            <w:r>
              <w:rPr>
                <w:rFonts w:ascii="Arial" w:hAnsi="Arial"/>
                <w:sz w:val="20"/>
              </w:rPr>
              <w:t>Edges</w:t>
            </w:r>
          </w:p>
        </w:tc>
        <w:tc>
          <w:tcPr>
            <w:tcW w:type="dxa" w:w="7200"/>
          </w:tcPr>
          <w:p>
            <w:pPr>
              <w:jc w:val="center"/>
            </w:pPr>
            <w:r/>
            <w:r>
              <w:rPr>
                <w:rFonts w:ascii="Arial" w:hAnsi="Arial"/>
                <w:sz w:val="20"/>
              </w:rPr>
              <w:t>59 bidirectional links = 116 directed edges</w:t>
            </w:r>
          </w:p>
        </w:tc>
      </w:tr>
      <w:tr>
        <w:tc>
          <w:tcPr>
            <w:tcW w:type="dxa" w:w="2160"/>
          </w:tcPr>
          <w:p>
            <w:pPr>
              <w:jc w:val="center"/>
            </w:pPr>
            <w:r/>
            <w:r>
              <w:rPr>
                <w:rFonts w:ascii="Arial" w:hAnsi="Arial"/>
                <w:sz w:val="20"/>
              </w:rPr>
              <w:t>Traffic</w:t>
            </w:r>
          </w:p>
        </w:tc>
        <w:tc>
          <w:tcPr>
            <w:tcW w:type="dxa" w:w="7200"/>
          </w:tcPr>
          <w:p>
            <w:pPr>
              <w:jc w:val="center"/>
            </w:pPr>
            <w:r/>
            <w:r>
              <w:rPr>
                <w:rFonts w:ascii="Arial" w:hAnsi="Arial"/>
                <w:sz w:val="20"/>
              </w:rPr>
              <w:t>Synthetic MGM (not real SNDlib traffic matrices)</w:t>
            </w:r>
          </w:p>
        </w:tc>
      </w:tr>
      <w:tr>
        <w:tc>
          <w:tcPr>
            <w:tcW w:type="dxa" w:w="2160"/>
          </w:tcPr>
          <w:p>
            <w:pPr>
              <w:jc w:val="center"/>
            </w:pPr>
            <w:r/>
            <w:r>
              <w:rPr>
                <w:rFonts w:ascii="Arial" w:hAnsi="Arial"/>
                <w:sz w:val="20"/>
              </w:rPr>
              <w:t>Config note</w:t>
            </w:r>
          </w:p>
        </w:tc>
        <w:tc>
          <w:tcPr>
            <w:tcW w:type="dxa" w:w="7200"/>
          </w:tcPr>
          <w:p>
            <w:pPr>
              <w:jc w:val="center"/>
            </w:pPr>
            <w:r/>
            <w:r>
              <w:rPr>
                <w:rFonts w:ascii="Arial" w:hAnsi="Arial"/>
                <w:sz w:val="20"/>
              </w:rPr>
              <w:t>traffic_mode kept as 'real_sndlib' to avoid breaking the data loader; a comment documents the truth</w:t>
            </w:r>
          </w:p>
        </w:tc>
      </w:tr>
    </w:tbl>
    <w:p/>
    <w:p>
      <w:r>
        <w:t>The CERNET topology was previously mislabeled as SNDlib-sourced. The actual .graphml file comes from TopologyZoo. The traffic matrices in the processed NPZ file are synthetic (generated by the MGM model), not real measured traffic. The pipeline configuration retains traffic_mode='real_sndlib' because changing it breaks the data loader, but this is documented with explicit comments.</w:t>
      </w:r>
    </w:p>
    <w:p>
      <w:pPr>
        <w:pStyle w:val="Heading1"/>
      </w:pPr>
      <w:r>
        <w:t>9. Per-Component Timing Breakdown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296"/>
          </w:tcPr>
          <w:p>
            <w:pPr>
              <w:jc w:val="center"/>
            </w:pPr>
            <w:r/>
            <w:r>
              <w:rPr>
                <w:rFonts w:ascii="Arial" w:hAnsi="Arial"/>
                <w:b/>
                <w:sz w:val="20"/>
              </w:rPr>
              <w:t>Topology</w:t>
            </w:r>
          </w:p>
        </w:tc>
        <w:tc>
          <w:tcPr>
            <w:tcW w:type="dxa" w:w="864"/>
          </w:tcPr>
          <w:p>
            <w:pPr>
              <w:jc w:val="center"/>
            </w:pPr>
            <w:r/>
            <w:r>
              <w:rPr>
                <w:rFonts w:ascii="Arial" w:hAnsi="Arial"/>
                <w:b/>
                <w:sz w:val="20"/>
              </w:rPr>
              <w:t>BN ms</w:t>
            </w:r>
          </w:p>
        </w:tc>
        <w:tc>
          <w:tcPr>
            <w:tcW w:type="dxa" w:w="864"/>
          </w:tcPr>
          <w:p>
            <w:pPr>
              <w:jc w:val="center"/>
            </w:pPr>
            <w:r/>
            <w:r>
              <w:rPr>
                <w:rFonts w:ascii="Arial" w:hAnsi="Arial"/>
                <w:b/>
                <w:sz w:val="20"/>
              </w:rPr>
              <w:t>TopK ms</w:t>
            </w:r>
          </w:p>
        </w:tc>
        <w:tc>
          <w:tcPr>
            <w:tcW w:type="dxa" w:w="864"/>
          </w:tcPr>
          <w:p>
            <w:pPr>
              <w:jc w:val="center"/>
            </w:pPr>
            <w:r/>
            <w:r>
              <w:rPr>
                <w:rFonts w:ascii="Arial" w:hAnsi="Arial"/>
                <w:b/>
                <w:sz w:val="20"/>
              </w:rPr>
              <w:t>Sens ms</w:t>
            </w:r>
          </w:p>
        </w:tc>
        <w:tc>
          <w:tcPr>
            <w:tcW w:type="dxa" w:w="864"/>
          </w:tcPr>
          <w:p>
            <w:pPr>
              <w:jc w:val="center"/>
            </w:pPr>
            <w:r/>
            <w:r>
              <w:rPr>
                <w:rFonts w:ascii="Arial" w:hAnsi="Arial"/>
                <w:b/>
                <w:sz w:val="20"/>
              </w:rPr>
              <w:t>GNN ms</w:t>
            </w:r>
          </w:p>
        </w:tc>
        <w:tc>
          <w:tcPr>
            <w:tcW w:type="dxa" w:w="864"/>
          </w:tcPr>
          <w:p>
            <w:pPr>
              <w:jc w:val="center"/>
            </w:pPr>
            <w:r/>
            <w:r>
              <w:rPr>
                <w:rFonts w:ascii="Arial" w:hAnsi="Arial"/>
                <w:b/>
                <w:sz w:val="20"/>
              </w:rPr>
              <w:t>Feat ms</w:t>
            </w:r>
          </w:p>
        </w:tc>
        <w:tc>
          <w:tcPr>
            <w:tcW w:type="dxa" w:w="864"/>
          </w:tcPr>
          <w:p>
            <w:pPr>
              <w:jc w:val="center"/>
            </w:pPr>
            <w:r/>
            <w:r>
              <w:rPr>
                <w:rFonts w:ascii="Arial" w:hAnsi="Arial"/>
                <w:b/>
                <w:sz w:val="20"/>
              </w:rPr>
              <w:t>MLP ms</w:t>
            </w:r>
          </w:p>
        </w:tc>
        <w:tc>
          <w:tcPr>
            <w:tcW w:type="dxa" w:w="864"/>
          </w:tcPr>
          <w:p>
            <w:pPr>
              <w:jc w:val="center"/>
            </w:pPr>
            <w:r/>
            <w:r>
              <w:rPr>
                <w:rFonts w:ascii="Arial" w:hAnsi="Arial"/>
                <w:b/>
                <w:sz w:val="20"/>
              </w:rPr>
              <w:t>LP ms</w:t>
            </w:r>
          </w:p>
        </w:tc>
        <w:tc>
          <w:tcPr>
            <w:tcW w:type="dxa" w:w="1008"/>
          </w:tcPr>
          <w:p>
            <w:pPr>
              <w:jc w:val="center"/>
            </w:pPr>
            <w:r/>
            <w:r>
              <w:rPr>
                <w:rFonts w:ascii="Arial" w:hAnsi="Arial"/>
                <w:b/>
                <w:sz w:val="20"/>
              </w:rPr>
              <w:t>Total ms</w:t>
            </w:r>
          </w:p>
        </w:tc>
      </w:tr>
      <w:tr>
        <w:tc>
          <w:tcPr>
            <w:tcW w:type="dxa" w:w="1296"/>
          </w:tcPr>
          <w:p>
            <w:pPr>
              <w:jc w:val="center"/>
            </w:pPr>
            <w:r/>
            <w:r>
              <w:rPr>
                <w:rFonts w:ascii="Arial" w:hAnsi="Arial"/>
                <w:sz w:val="20"/>
              </w:rPr>
              <w:t>Abilene</w:t>
            </w:r>
          </w:p>
        </w:tc>
        <w:tc>
          <w:tcPr>
            <w:tcW w:type="dxa" w:w="864"/>
          </w:tcPr>
          <w:p>
            <w:pPr>
              <w:jc w:val="center"/>
            </w:pPr>
            <w:r/>
            <w:r>
              <w:rPr>
                <w:rFonts w:ascii="Arial" w:hAnsi="Arial"/>
                <w:sz w:val="20"/>
              </w:rPr>
              <w:t>0.5</w:t>
            </w:r>
          </w:p>
        </w:tc>
        <w:tc>
          <w:tcPr>
            <w:tcW w:type="dxa" w:w="864"/>
          </w:tcPr>
          <w:p>
            <w:pPr>
              <w:jc w:val="center"/>
            </w:pPr>
            <w:r/>
            <w:r>
              <w:rPr>
                <w:rFonts w:ascii="Arial" w:hAnsi="Arial"/>
                <w:sz w:val="20"/>
              </w:rPr>
              <w:t>0.0</w:t>
            </w:r>
          </w:p>
        </w:tc>
        <w:tc>
          <w:tcPr>
            <w:tcW w:type="dxa" w:w="864"/>
          </w:tcPr>
          <w:p>
            <w:pPr>
              <w:jc w:val="center"/>
            </w:pPr>
            <w:r/>
            <w:r>
              <w:rPr>
                <w:rFonts w:ascii="Arial" w:hAnsi="Arial"/>
                <w:sz w:val="20"/>
              </w:rPr>
              <w:t>0.7</w:t>
            </w:r>
          </w:p>
        </w:tc>
        <w:tc>
          <w:tcPr>
            <w:tcW w:type="dxa" w:w="864"/>
          </w:tcPr>
          <w:p>
            <w:pPr>
              <w:jc w:val="center"/>
            </w:pPr>
            <w:r/>
            <w:r>
              <w:rPr>
                <w:rFonts w:ascii="Arial" w:hAnsi="Arial"/>
                <w:sz w:val="20"/>
              </w:rPr>
              <w:t>1.9</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0.16</w:t>
            </w:r>
          </w:p>
        </w:tc>
        <w:tc>
          <w:tcPr>
            <w:tcW w:type="dxa" w:w="864"/>
          </w:tcPr>
          <w:p>
            <w:pPr>
              <w:jc w:val="center"/>
            </w:pPr>
            <w:r/>
            <w:r>
              <w:rPr>
                <w:rFonts w:ascii="Arial" w:hAnsi="Arial"/>
                <w:sz w:val="20"/>
              </w:rPr>
              <w:t>24.9</w:t>
            </w:r>
          </w:p>
        </w:tc>
        <w:tc>
          <w:tcPr>
            <w:tcW w:type="dxa" w:w="1008"/>
          </w:tcPr>
          <w:p>
            <w:pPr>
              <w:jc w:val="center"/>
            </w:pPr>
            <w:r/>
            <w:r>
              <w:rPr>
                <w:rFonts w:ascii="Arial" w:hAnsi="Arial"/>
                <w:sz w:val="20"/>
              </w:rPr>
              <w:t>30.0</w:t>
            </w:r>
          </w:p>
        </w:tc>
      </w:tr>
      <w:tr>
        <w:tc>
          <w:tcPr>
            <w:tcW w:type="dxa" w:w="1296"/>
          </w:tcPr>
          <w:p>
            <w:pPr>
              <w:jc w:val="center"/>
            </w:pPr>
            <w:r/>
            <w:r>
              <w:rPr>
                <w:rFonts w:ascii="Arial" w:hAnsi="Arial"/>
                <w:sz w:val="20"/>
              </w:rPr>
              <w:t>GEANT</w:t>
            </w:r>
          </w:p>
        </w:tc>
        <w:tc>
          <w:tcPr>
            <w:tcW w:type="dxa" w:w="864"/>
          </w:tcPr>
          <w:p>
            <w:pPr>
              <w:jc w:val="center"/>
            </w:pPr>
            <w:r/>
            <w:r>
              <w:rPr>
                <w:rFonts w:ascii="Arial" w:hAnsi="Arial"/>
                <w:sz w:val="20"/>
              </w:rPr>
              <w:t>1.8</w:t>
            </w:r>
          </w:p>
        </w:tc>
        <w:tc>
          <w:tcPr>
            <w:tcW w:type="dxa" w:w="864"/>
          </w:tcPr>
          <w:p>
            <w:pPr>
              <w:jc w:val="center"/>
            </w:pPr>
            <w:r/>
            <w:r>
              <w:rPr>
                <w:rFonts w:ascii="Arial" w:hAnsi="Arial"/>
                <w:sz w:val="20"/>
              </w:rPr>
              <w:t>0.0</w:t>
            </w:r>
          </w:p>
        </w:tc>
        <w:tc>
          <w:tcPr>
            <w:tcW w:type="dxa" w:w="864"/>
          </w:tcPr>
          <w:p>
            <w:pPr>
              <w:jc w:val="center"/>
            </w:pPr>
            <w:r/>
            <w:r>
              <w:rPr>
                <w:rFonts w:ascii="Arial" w:hAnsi="Arial"/>
                <w:sz w:val="20"/>
              </w:rPr>
              <w:t>2.1</w:t>
            </w:r>
          </w:p>
        </w:tc>
        <w:tc>
          <w:tcPr>
            <w:tcW w:type="dxa" w:w="864"/>
          </w:tcPr>
          <w:p>
            <w:pPr>
              <w:jc w:val="center"/>
            </w:pPr>
            <w:r/>
            <w:r>
              <w:rPr>
                <w:rFonts w:ascii="Arial" w:hAnsi="Arial"/>
                <w:sz w:val="20"/>
              </w:rPr>
              <w:t>3.8</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0.15</w:t>
            </w:r>
          </w:p>
        </w:tc>
        <w:tc>
          <w:tcPr>
            <w:tcW w:type="dxa" w:w="864"/>
          </w:tcPr>
          <w:p>
            <w:pPr>
              <w:jc w:val="center"/>
            </w:pPr>
            <w:r/>
            <w:r>
              <w:rPr>
                <w:rFonts w:ascii="Arial" w:hAnsi="Arial"/>
                <w:sz w:val="20"/>
              </w:rPr>
              <w:t>28.5</w:t>
            </w:r>
          </w:p>
        </w:tc>
        <w:tc>
          <w:tcPr>
            <w:tcW w:type="dxa" w:w="1008"/>
          </w:tcPr>
          <w:p>
            <w:pPr>
              <w:jc w:val="center"/>
            </w:pPr>
            <w:r/>
            <w:r>
              <w:rPr>
                <w:rFonts w:ascii="Arial" w:hAnsi="Arial"/>
                <w:sz w:val="20"/>
              </w:rPr>
              <w:t>40.6</w:t>
            </w:r>
          </w:p>
        </w:tc>
      </w:tr>
      <w:tr>
        <w:tc>
          <w:tcPr>
            <w:tcW w:type="dxa" w:w="1296"/>
          </w:tcPr>
          <w:p>
            <w:pPr>
              <w:jc w:val="center"/>
            </w:pPr>
            <w:r/>
            <w:r>
              <w:rPr>
                <w:rFonts w:ascii="Arial" w:hAnsi="Arial"/>
                <w:sz w:val="20"/>
              </w:rPr>
              <w:t>CERNET</w:t>
            </w:r>
          </w:p>
        </w:tc>
        <w:tc>
          <w:tcPr>
            <w:tcW w:type="dxa" w:w="864"/>
          </w:tcPr>
          <w:p>
            <w:pPr>
              <w:jc w:val="center"/>
            </w:pPr>
            <w:r/>
            <w:r>
              <w:rPr>
                <w:rFonts w:ascii="Arial" w:hAnsi="Arial"/>
                <w:sz w:val="20"/>
              </w:rPr>
              <w:t>6.6</w:t>
            </w:r>
          </w:p>
        </w:tc>
        <w:tc>
          <w:tcPr>
            <w:tcW w:type="dxa" w:w="864"/>
          </w:tcPr>
          <w:p>
            <w:pPr>
              <w:jc w:val="center"/>
            </w:pPr>
            <w:r/>
            <w:r>
              <w:rPr>
                <w:rFonts w:ascii="Arial" w:hAnsi="Arial"/>
                <w:sz w:val="20"/>
              </w:rPr>
              <w:t>0.1</w:t>
            </w:r>
          </w:p>
        </w:tc>
        <w:tc>
          <w:tcPr>
            <w:tcW w:type="dxa" w:w="864"/>
          </w:tcPr>
          <w:p>
            <w:pPr>
              <w:jc w:val="center"/>
            </w:pPr>
            <w:r/>
            <w:r>
              <w:rPr>
                <w:rFonts w:ascii="Arial" w:hAnsi="Arial"/>
                <w:sz w:val="20"/>
              </w:rPr>
              <w:t>8.1</w:t>
            </w:r>
          </w:p>
        </w:tc>
        <w:tc>
          <w:tcPr>
            <w:tcW w:type="dxa" w:w="864"/>
          </w:tcPr>
          <w:p>
            <w:pPr>
              <w:jc w:val="center"/>
            </w:pPr>
            <w:r/>
            <w:r>
              <w:rPr>
                <w:rFonts w:ascii="Arial" w:hAnsi="Arial"/>
                <w:sz w:val="20"/>
              </w:rPr>
              <w:t>10.5</w:t>
            </w:r>
          </w:p>
        </w:tc>
        <w:tc>
          <w:tcPr>
            <w:tcW w:type="dxa" w:w="864"/>
          </w:tcPr>
          <w:p>
            <w:pPr>
              <w:jc w:val="center"/>
            </w:pPr>
            <w:r/>
            <w:r>
              <w:rPr>
                <w:rFonts w:ascii="Arial" w:hAnsi="Arial"/>
                <w:sz w:val="20"/>
              </w:rPr>
              <w:t>0.9</w:t>
            </w:r>
          </w:p>
        </w:tc>
        <w:tc>
          <w:tcPr>
            <w:tcW w:type="dxa" w:w="864"/>
          </w:tcPr>
          <w:p>
            <w:pPr>
              <w:jc w:val="center"/>
            </w:pPr>
            <w:r/>
            <w:r>
              <w:rPr>
                <w:rFonts w:ascii="Arial" w:hAnsi="Arial"/>
                <w:sz w:val="20"/>
              </w:rPr>
              <w:t>0.16</w:t>
            </w:r>
          </w:p>
        </w:tc>
        <w:tc>
          <w:tcPr>
            <w:tcW w:type="dxa" w:w="864"/>
          </w:tcPr>
          <w:p>
            <w:pPr>
              <w:jc w:val="center"/>
            </w:pPr>
            <w:r/>
            <w:r>
              <w:rPr>
                <w:rFonts w:ascii="Arial" w:hAnsi="Arial"/>
                <w:sz w:val="20"/>
              </w:rPr>
              <w:t>41.2</w:t>
            </w:r>
          </w:p>
        </w:tc>
        <w:tc>
          <w:tcPr>
            <w:tcW w:type="dxa" w:w="1008"/>
          </w:tcPr>
          <w:p>
            <w:pPr>
              <w:jc w:val="center"/>
            </w:pPr>
            <w:r/>
            <w:r>
              <w:rPr>
                <w:rFonts w:ascii="Arial" w:hAnsi="Arial"/>
                <w:sz w:val="20"/>
              </w:rPr>
              <w:t>79.9</w:t>
            </w:r>
          </w:p>
        </w:tc>
      </w:tr>
      <w:tr>
        <w:tc>
          <w:tcPr>
            <w:tcW w:type="dxa" w:w="1296"/>
          </w:tcPr>
          <w:p>
            <w:pPr>
              <w:jc w:val="center"/>
            </w:pPr>
            <w:r/>
            <w:r>
              <w:rPr>
                <w:rFonts w:ascii="Arial" w:hAnsi="Arial"/>
                <w:sz w:val="20"/>
              </w:rPr>
              <w:t>Ebone</w:t>
            </w:r>
          </w:p>
        </w:tc>
        <w:tc>
          <w:tcPr>
            <w:tcW w:type="dxa" w:w="864"/>
          </w:tcPr>
          <w:p>
            <w:pPr>
              <w:jc w:val="center"/>
            </w:pPr>
            <w:r/>
            <w:r>
              <w:rPr>
                <w:rFonts w:ascii="Arial" w:hAnsi="Arial"/>
                <w:sz w:val="20"/>
              </w:rPr>
              <w:t>2.0</w:t>
            </w:r>
          </w:p>
        </w:tc>
        <w:tc>
          <w:tcPr>
            <w:tcW w:type="dxa" w:w="864"/>
          </w:tcPr>
          <w:p>
            <w:pPr>
              <w:jc w:val="center"/>
            </w:pPr>
            <w:r/>
            <w:r>
              <w:rPr>
                <w:rFonts w:ascii="Arial" w:hAnsi="Arial"/>
                <w:sz w:val="20"/>
              </w:rPr>
              <w:t>0.0</w:t>
            </w:r>
          </w:p>
        </w:tc>
        <w:tc>
          <w:tcPr>
            <w:tcW w:type="dxa" w:w="864"/>
          </w:tcPr>
          <w:p>
            <w:pPr>
              <w:jc w:val="center"/>
            </w:pPr>
            <w:r/>
            <w:r>
              <w:rPr>
                <w:rFonts w:ascii="Arial" w:hAnsi="Arial"/>
                <w:sz w:val="20"/>
              </w:rPr>
              <w:t>2.5</w:t>
            </w:r>
          </w:p>
        </w:tc>
        <w:tc>
          <w:tcPr>
            <w:tcW w:type="dxa" w:w="864"/>
          </w:tcPr>
          <w:p>
            <w:pPr>
              <w:jc w:val="center"/>
            </w:pPr>
            <w:r/>
            <w:r>
              <w:rPr>
                <w:rFonts w:ascii="Arial" w:hAnsi="Arial"/>
                <w:sz w:val="20"/>
              </w:rPr>
              <w:t>4.1</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0.15</w:t>
            </w:r>
          </w:p>
        </w:tc>
        <w:tc>
          <w:tcPr>
            <w:tcW w:type="dxa" w:w="864"/>
          </w:tcPr>
          <w:p>
            <w:pPr>
              <w:jc w:val="center"/>
            </w:pPr>
            <w:r/>
            <w:r>
              <w:rPr>
                <w:rFonts w:ascii="Arial" w:hAnsi="Arial"/>
                <w:sz w:val="20"/>
              </w:rPr>
              <w:t>28.7</w:t>
            </w:r>
          </w:p>
        </w:tc>
        <w:tc>
          <w:tcPr>
            <w:tcW w:type="dxa" w:w="1008"/>
          </w:tcPr>
          <w:p>
            <w:pPr>
              <w:jc w:val="center"/>
            </w:pPr>
            <w:r/>
            <w:r>
              <w:rPr>
                <w:rFonts w:ascii="Arial" w:hAnsi="Arial"/>
                <w:sz w:val="20"/>
              </w:rPr>
              <w:t>42.2</w:t>
            </w:r>
          </w:p>
        </w:tc>
      </w:tr>
      <w:tr>
        <w:tc>
          <w:tcPr>
            <w:tcW w:type="dxa" w:w="1296"/>
          </w:tcPr>
          <w:p>
            <w:pPr>
              <w:jc w:val="center"/>
            </w:pPr>
            <w:r/>
            <w:r>
              <w:rPr>
                <w:rFonts w:ascii="Arial" w:hAnsi="Arial"/>
                <w:sz w:val="20"/>
              </w:rPr>
              <w:t>Sprintlink</w:t>
            </w:r>
          </w:p>
        </w:tc>
        <w:tc>
          <w:tcPr>
            <w:tcW w:type="dxa" w:w="864"/>
          </w:tcPr>
          <w:p>
            <w:pPr>
              <w:jc w:val="center"/>
            </w:pPr>
            <w:r/>
            <w:r>
              <w:rPr>
                <w:rFonts w:ascii="Arial" w:hAnsi="Arial"/>
                <w:sz w:val="20"/>
              </w:rPr>
              <w:t>8.1</w:t>
            </w:r>
          </w:p>
        </w:tc>
        <w:tc>
          <w:tcPr>
            <w:tcW w:type="dxa" w:w="864"/>
          </w:tcPr>
          <w:p>
            <w:pPr>
              <w:jc w:val="center"/>
            </w:pPr>
            <w:r/>
            <w:r>
              <w:rPr>
                <w:rFonts w:ascii="Arial" w:hAnsi="Arial"/>
                <w:sz w:val="20"/>
              </w:rPr>
              <w:t>0.1</w:t>
            </w:r>
          </w:p>
        </w:tc>
        <w:tc>
          <w:tcPr>
            <w:tcW w:type="dxa" w:w="864"/>
          </w:tcPr>
          <w:p>
            <w:pPr>
              <w:jc w:val="center"/>
            </w:pPr>
            <w:r/>
            <w:r>
              <w:rPr>
                <w:rFonts w:ascii="Arial" w:hAnsi="Arial"/>
                <w:sz w:val="20"/>
              </w:rPr>
              <w:t>9.9</w:t>
            </w:r>
          </w:p>
        </w:tc>
        <w:tc>
          <w:tcPr>
            <w:tcW w:type="dxa" w:w="864"/>
          </w:tcPr>
          <w:p>
            <w:pPr>
              <w:jc w:val="center"/>
            </w:pPr>
            <w:r/>
            <w:r>
              <w:rPr>
                <w:rFonts w:ascii="Arial" w:hAnsi="Arial"/>
                <w:sz w:val="20"/>
              </w:rPr>
              <w:t>13.3</w:t>
            </w:r>
          </w:p>
        </w:tc>
        <w:tc>
          <w:tcPr>
            <w:tcW w:type="dxa" w:w="864"/>
          </w:tcPr>
          <w:p>
            <w:pPr>
              <w:jc w:val="center"/>
            </w:pPr>
            <w:r/>
            <w:r>
              <w:rPr>
                <w:rFonts w:ascii="Arial" w:hAnsi="Arial"/>
                <w:sz w:val="20"/>
              </w:rPr>
              <w:t>1.0</w:t>
            </w:r>
          </w:p>
        </w:tc>
        <w:tc>
          <w:tcPr>
            <w:tcW w:type="dxa" w:w="864"/>
          </w:tcPr>
          <w:p>
            <w:pPr>
              <w:jc w:val="center"/>
            </w:pPr>
            <w:r/>
            <w:r>
              <w:rPr>
                <w:rFonts w:ascii="Arial" w:hAnsi="Arial"/>
                <w:sz w:val="20"/>
              </w:rPr>
              <w:t>0.18</w:t>
            </w:r>
          </w:p>
        </w:tc>
        <w:tc>
          <w:tcPr>
            <w:tcW w:type="dxa" w:w="864"/>
          </w:tcPr>
          <w:p>
            <w:pPr>
              <w:jc w:val="center"/>
            </w:pPr>
            <w:r/>
            <w:r>
              <w:rPr>
                <w:rFonts w:ascii="Arial" w:hAnsi="Arial"/>
                <w:sz w:val="20"/>
              </w:rPr>
              <w:t>45.3</w:t>
            </w:r>
          </w:p>
        </w:tc>
        <w:tc>
          <w:tcPr>
            <w:tcW w:type="dxa" w:w="1008"/>
          </w:tcPr>
          <w:p>
            <w:pPr>
              <w:jc w:val="center"/>
            </w:pPr>
            <w:r/>
            <w:r>
              <w:rPr>
                <w:rFonts w:ascii="Arial" w:hAnsi="Arial"/>
                <w:sz w:val="20"/>
              </w:rPr>
              <w:t>92.4</w:t>
            </w:r>
          </w:p>
        </w:tc>
      </w:tr>
      <w:tr>
        <w:tc>
          <w:tcPr>
            <w:tcW w:type="dxa" w:w="1296"/>
          </w:tcPr>
          <w:p>
            <w:pPr>
              <w:jc w:val="center"/>
            </w:pPr>
            <w:r/>
            <w:r>
              <w:rPr>
                <w:rFonts w:ascii="Arial" w:hAnsi="Arial"/>
                <w:sz w:val="20"/>
              </w:rPr>
              <w:t>Tiscali</w:t>
            </w:r>
          </w:p>
        </w:tc>
        <w:tc>
          <w:tcPr>
            <w:tcW w:type="dxa" w:w="864"/>
          </w:tcPr>
          <w:p>
            <w:pPr>
              <w:jc w:val="center"/>
            </w:pPr>
            <w:r/>
            <w:r>
              <w:rPr>
                <w:rFonts w:ascii="Arial" w:hAnsi="Arial"/>
                <w:sz w:val="20"/>
              </w:rPr>
              <w:t>10.4</w:t>
            </w:r>
          </w:p>
        </w:tc>
        <w:tc>
          <w:tcPr>
            <w:tcW w:type="dxa" w:w="864"/>
          </w:tcPr>
          <w:p>
            <w:pPr>
              <w:jc w:val="center"/>
            </w:pPr>
            <w:r/>
            <w:r>
              <w:rPr>
                <w:rFonts w:ascii="Arial" w:hAnsi="Arial"/>
                <w:sz w:val="20"/>
              </w:rPr>
              <w:t>0.1</w:t>
            </w:r>
          </w:p>
        </w:tc>
        <w:tc>
          <w:tcPr>
            <w:tcW w:type="dxa" w:w="864"/>
          </w:tcPr>
          <w:p>
            <w:pPr>
              <w:jc w:val="center"/>
            </w:pPr>
            <w:r/>
            <w:r>
              <w:rPr>
                <w:rFonts w:ascii="Arial" w:hAnsi="Arial"/>
                <w:sz w:val="20"/>
              </w:rPr>
              <w:t>12.6</w:t>
            </w:r>
          </w:p>
        </w:tc>
        <w:tc>
          <w:tcPr>
            <w:tcW w:type="dxa" w:w="864"/>
          </w:tcPr>
          <w:p>
            <w:pPr>
              <w:jc w:val="center"/>
            </w:pPr>
            <w:r/>
            <w:r>
              <w:rPr>
                <w:rFonts w:ascii="Arial" w:hAnsi="Arial"/>
                <w:sz w:val="20"/>
              </w:rPr>
              <w:t>15.3</w:t>
            </w:r>
          </w:p>
        </w:tc>
        <w:tc>
          <w:tcPr>
            <w:tcW w:type="dxa" w:w="864"/>
          </w:tcPr>
          <w:p>
            <w:pPr>
              <w:jc w:val="center"/>
            </w:pPr>
            <w:r/>
            <w:r>
              <w:rPr>
                <w:rFonts w:ascii="Arial" w:hAnsi="Arial"/>
                <w:sz w:val="20"/>
              </w:rPr>
              <w:t>1.0</w:t>
            </w:r>
          </w:p>
        </w:tc>
        <w:tc>
          <w:tcPr>
            <w:tcW w:type="dxa" w:w="864"/>
          </w:tcPr>
          <w:p>
            <w:pPr>
              <w:jc w:val="center"/>
            </w:pPr>
            <w:r/>
            <w:r>
              <w:rPr>
                <w:rFonts w:ascii="Arial" w:hAnsi="Arial"/>
                <w:sz w:val="20"/>
              </w:rPr>
              <w:t>0.19</w:t>
            </w:r>
          </w:p>
        </w:tc>
        <w:tc>
          <w:tcPr>
            <w:tcW w:type="dxa" w:w="864"/>
          </w:tcPr>
          <w:p>
            <w:pPr>
              <w:jc w:val="center"/>
            </w:pPr>
            <w:r/>
            <w:r>
              <w:rPr>
                <w:rFonts w:ascii="Arial" w:hAnsi="Arial"/>
                <w:sz w:val="20"/>
              </w:rPr>
              <w:t>50.1</w:t>
            </w:r>
          </w:p>
        </w:tc>
        <w:tc>
          <w:tcPr>
            <w:tcW w:type="dxa" w:w="1008"/>
          </w:tcPr>
          <w:p>
            <w:pPr>
              <w:jc w:val="center"/>
            </w:pPr>
            <w:r/>
            <w:r>
              <w:rPr>
                <w:rFonts w:ascii="Arial" w:hAnsi="Arial"/>
                <w:sz w:val="20"/>
              </w:rPr>
              <w:t>108.1</w:t>
            </w:r>
          </w:p>
        </w:tc>
      </w:tr>
      <w:tr>
        <w:tc>
          <w:tcPr>
            <w:tcW w:type="dxa" w:w="1296"/>
          </w:tcPr>
          <w:p>
            <w:pPr>
              <w:jc w:val="center"/>
            </w:pPr>
            <w:r/>
            <w:r>
              <w:rPr>
                <w:rFonts w:ascii="Arial" w:hAnsi="Arial"/>
                <w:sz w:val="20"/>
              </w:rPr>
              <w:t>Germany50</w:t>
            </w:r>
          </w:p>
        </w:tc>
        <w:tc>
          <w:tcPr>
            <w:tcW w:type="dxa" w:w="864"/>
          </w:tcPr>
          <w:p>
            <w:pPr>
              <w:jc w:val="center"/>
            </w:pPr>
            <w:r/>
            <w:r>
              <w:rPr>
                <w:rFonts w:ascii="Arial" w:hAnsi="Arial"/>
                <w:sz w:val="20"/>
              </w:rPr>
              <w:t>7.7</w:t>
            </w:r>
          </w:p>
        </w:tc>
        <w:tc>
          <w:tcPr>
            <w:tcW w:type="dxa" w:w="864"/>
          </w:tcPr>
          <w:p>
            <w:pPr>
              <w:jc w:val="center"/>
            </w:pPr>
            <w:r/>
            <w:r>
              <w:rPr>
                <w:rFonts w:ascii="Arial" w:hAnsi="Arial"/>
                <w:sz w:val="20"/>
              </w:rPr>
              <w:t>0.1</w:t>
            </w:r>
          </w:p>
        </w:tc>
        <w:tc>
          <w:tcPr>
            <w:tcW w:type="dxa" w:w="864"/>
          </w:tcPr>
          <w:p>
            <w:pPr>
              <w:jc w:val="center"/>
            </w:pPr>
            <w:r/>
            <w:r>
              <w:rPr>
                <w:rFonts w:ascii="Arial" w:hAnsi="Arial"/>
                <w:sz w:val="20"/>
              </w:rPr>
              <w:t>8.7</w:t>
            </w:r>
          </w:p>
        </w:tc>
        <w:tc>
          <w:tcPr>
            <w:tcW w:type="dxa" w:w="864"/>
          </w:tcPr>
          <w:p>
            <w:pPr>
              <w:jc w:val="center"/>
            </w:pPr>
            <w:r/>
            <w:r>
              <w:rPr>
                <w:rFonts w:ascii="Arial" w:hAnsi="Arial"/>
                <w:sz w:val="20"/>
              </w:rPr>
              <w:t>16.8</w:t>
            </w:r>
          </w:p>
        </w:tc>
        <w:tc>
          <w:tcPr>
            <w:tcW w:type="dxa" w:w="864"/>
          </w:tcPr>
          <w:p>
            <w:pPr>
              <w:jc w:val="center"/>
            </w:pPr>
            <w:r/>
            <w:r>
              <w:rPr>
                <w:rFonts w:ascii="Arial" w:hAnsi="Arial"/>
                <w:sz w:val="20"/>
              </w:rPr>
              <w:t>1.0</w:t>
            </w:r>
          </w:p>
        </w:tc>
        <w:tc>
          <w:tcPr>
            <w:tcW w:type="dxa" w:w="864"/>
          </w:tcPr>
          <w:p>
            <w:pPr>
              <w:jc w:val="center"/>
            </w:pPr>
            <w:r/>
            <w:r>
              <w:rPr>
                <w:rFonts w:ascii="Arial" w:hAnsi="Arial"/>
                <w:sz w:val="20"/>
              </w:rPr>
              <w:t>0.20</w:t>
            </w:r>
          </w:p>
        </w:tc>
        <w:tc>
          <w:tcPr>
            <w:tcW w:type="dxa" w:w="864"/>
          </w:tcPr>
          <w:p>
            <w:pPr>
              <w:jc w:val="center"/>
            </w:pPr>
            <w:r/>
            <w:r>
              <w:rPr>
                <w:rFonts w:ascii="Arial" w:hAnsi="Arial"/>
                <w:sz w:val="20"/>
              </w:rPr>
              <w:t>46.4</w:t>
            </w:r>
          </w:p>
        </w:tc>
        <w:tc>
          <w:tcPr>
            <w:tcW w:type="dxa" w:w="1008"/>
          </w:tcPr>
          <w:p>
            <w:pPr>
              <w:jc w:val="center"/>
            </w:pPr>
            <w:r/>
            <w:r>
              <w:rPr>
                <w:rFonts w:ascii="Arial" w:hAnsi="Arial"/>
                <w:sz w:val="20"/>
              </w:rPr>
              <w:t>94.6</w:t>
            </w:r>
          </w:p>
        </w:tc>
      </w:tr>
      <w:tr>
        <w:tc>
          <w:tcPr>
            <w:tcW w:type="dxa" w:w="1296"/>
          </w:tcPr>
          <w:p>
            <w:pPr>
              <w:jc w:val="center"/>
            </w:pPr>
            <w:r/>
            <w:r>
              <w:rPr>
                <w:rFonts w:ascii="Arial" w:hAnsi="Arial"/>
                <w:sz w:val="20"/>
              </w:rPr>
              <w:t>VtlWavenet</w:t>
            </w:r>
          </w:p>
        </w:tc>
        <w:tc>
          <w:tcPr>
            <w:tcW w:type="dxa" w:w="864"/>
          </w:tcPr>
          <w:p>
            <w:pPr>
              <w:jc w:val="center"/>
            </w:pPr>
            <w:r/>
            <w:r>
              <w:rPr>
                <w:rFonts w:ascii="Arial" w:hAnsi="Arial"/>
                <w:sz w:val="20"/>
              </w:rPr>
              <w:t>61.7</w:t>
            </w:r>
          </w:p>
        </w:tc>
        <w:tc>
          <w:tcPr>
            <w:tcW w:type="dxa" w:w="864"/>
          </w:tcPr>
          <w:p>
            <w:pPr>
              <w:jc w:val="center"/>
            </w:pPr>
            <w:r/>
            <w:r>
              <w:rPr>
                <w:rFonts w:ascii="Arial" w:hAnsi="Arial"/>
                <w:sz w:val="20"/>
              </w:rPr>
              <w:t>0.5</w:t>
            </w:r>
          </w:p>
        </w:tc>
        <w:tc>
          <w:tcPr>
            <w:tcW w:type="dxa" w:w="864"/>
          </w:tcPr>
          <w:p>
            <w:pPr>
              <w:jc w:val="center"/>
            </w:pPr>
            <w:r/>
            <w:r>
              <w:rPr>
                <w:rFonts w:ascii="Arial" w:hAnsi="Arial"/>
                <w:sz w:val="20"/>
              </w:rPr>
              <w:t>103.9</w:t>
            </w:r>
          </w:p>
        </w:tc>
        <w:tc>
          <w:tcPr>
            <w:tcW w:type="dxa" w:w="864"/>
          </w:tcPr>
          <w:p>
            <w:pPr>
              <w:jc w:val="center"/>
            </w:pPr>
            <w:r/>
            <w:r>
              <w:rPr>
                <w:rFonts w:ascii="Arial" w:hAnsi="Arial"/>
                <w:sz w:val="20"/>
              </w:rPr>
              <w:t>58.4</w:t>
            </w:r>
          </w:p>
        </w:tc>
        <w:tc>
          <w:tcPr>
            <w:tcW w:type="dxa" w:w="864"/>
          </w:tcPr>
          <w:p>
            <w:pPr>
              <w:jc w:val="center"/>
            </w:pPr>
            <w:r/>
            <w:r>
              <w:rPr>
                <w:rFonts w:ascii="Arial" w:hAnsi="Arial"/>
                <w:sz w:val="20"/>
              </w:rPr>
              <w:t>1.4</w:t>
            </w:r>
          </w:p>
        </w:tc>
        <w:tc>
          <w:tcPr>
            <w:tcW w:type="dxa" w:w="864"/>
          </w:tcPr>
          <w:p>
            <w:pPr>
              <w:jc w:val="center"/>
            </w:pPr>
            <w:r/>
            <w:r>
              <w:rPr>
                <w:rFonts w:ascii="Arial" w:hAnsi="Arial"/>
                <w:sz w:val="20"/>
              </w:rPr>
              <w:t>0.23</w:t>
            </w:r>
          </w:p>
        </w:tc>
        <w:tc>
          <w:tcPr>
            <w:tcW w:type="dxa" w:w="864"/>
          </w:tcPr>
          <w:p>
            <w:pPr>
              <w:jc w:val="center"/>
            </w:pPr>
            <w:r/>
            <w:r>
              <w:rPr>
                <w:rFonts w:ascii="Arial" w:hAnsi="Arial"/>
                <w:sz w:val="20"/>
              </w:rPr>
              <w:t>145.0</w:t>
            </w:r>
          </w:p>
        </w:tc>
        <w:tc>
          <w:tcPr>
            <w:tcW w:type="dxa" w:w="1008"/>
          </w:tcPr>
          <w:p>
            <w:pPr>
              <w:jc w:val="center"/>
            </w:pPr>
            <w:r/>
            <w:r>
              <w:rPr>
                <w:rFonts w:ascii="Arial" w:hAnsi="Arial"/>
                <w:sz w:val="20"/>
              </w:rPr>
              <w:t>452.3</w:t>
            </w:r>
          </w:p>
        </w:tc>
      </w:tr>
    </w:tbl>
    <w:p/>
    <w:p>
      <w:r>
        <w:t>The MLP gate decision (feature extraction + MLP forward pass) takes &lt; 2 ms on all topologies. LP optimization dominates total time. The 4 expert runs add overhead (all must run before the gate can decide), but this is inherent to the 'run all, pick best' architecture.</w:t>
      </w:r>
    </w:p>
    <w:p>
      <w:r>
        <w:rPr>
          <w:b/>
        </w:rPr>
        <w:t xml:space="preserve">Mean decision time: </w:t>
      </w:r>
      <w:r>
        <w:t xml:space="preserve">48.4 ms. </w:t>
      </w:r>
      <w:r>
        <w:rPr>
          <w:b/>
        </w:rPr>
        <w:t xml:space="preserve">Mean LP time: </w:t>
      </w:r>
      <w:r>
        <w:t xml:space="preserve">51.5 ms. </w:t>
      </w:r>
      <w:r>
        <w:rPr>
          <w:b/>
        </w:rPr>
        <w:t xml:space="preserve">Mean total time: </w:t>
      </w:r>
      <w:r>
        <w:t>118.8 ms.</w:t>
      </w:r>
    </w:p>
    <w:p>
      <w:pPr>
        <w:pStyle w:val="Heading1"/>
      </w:pPr>
      <w:r>
        <w:t>10. Limitations (Honest Assessment)</w:t>
      </w:r>
    </w:p>
    <w:p>
      <w:r>
        <w:rPr>
          <w:b/>
        </w:rPr>
        <w:t xml:space="preserve">Not pure zero-shot. </w:t>
      </w:r>
      <w:r>
        <w:t>The calibration phase uses 10 validation TMs from the target topology itself, running all 4 experts + LP on each. This is a few-shot adaptation step, not pure zero-shot generalization. The correct framing is 'zero-shot gate training + few-shot calibration'.</w:t>
      </w:r>
    </w:p>
    <w:p>
      <w:r>
        <w:rPr>
          <w:b/>
        </w:rPr>
        <w:t xml:space="preserve">Calibration computational cost. </w:t>
      </w:r>
      <w:r>
        <w:t>10 TMs x 4 experts x LP = 40 LP solves per topology before test-time inference begins. This is a one-time cost per topology deployment, not per-timestep, but it is non-trivial.</w:t>
      </w:r>
    </w:p>
    <w:p>
      <w:r>
        <w:rPr>
          <w:b/>
        </w:rPr>
        <w:t xml:space="preserve">Alpha parameter is hand-tuned. </w:t>
      </w:r>
      <w:r>
        <w:t>The calibration strength alpha = 5 was selected empirically. Different alpha values produce different accuracy/gap tradeoffs. No principled method was used to select this value.</w:t>
      </w:r>
    </w:p>
    <w:p>
      <w:r>
        <w:rPr>
          <w:b/>
        </w:rPr>
        <w:t xml:space="preserve">Raw MLP is weak without calibration. </w:t>
      </w:r>
      <w:r>
        <w:t>The MLP validation accuracy is ~50% (barely above random for 4 classes). Without calibration, the gate collapses to mostly-Bottleneck on unseen topologies. The Bayesian calibration compensates for the MLP's weakness, but the gate itself cannot reliably distinguish when GNN beats Bottleneck from features alone.</w:t>
      </w:r>
    </w:p>
    <w:p>
      <w:r>
        <w:rPr>
          <w:b/>
        </w:rPr>
        <w:t xml:space="preserve">VtlWavenet2011 BN dominance. </w:t>
      </w:r>
      <w:r>
        <w:t>Despite calibration, VtlWavenet never selects GNN because the MLP's Bottleneck confidence is too extreme for even prior^5 to override. This is masked by the fact that BN is coincidentally near-optimal (+0.06% gap) on this topology.</w:t>
      </w:r>
    </w:p>
    <w:p>
      <w:r>
        <w:rPr>
          <w:b/>
        </w:rPr>
        <w:t xml:space="preserve">Accuracy vs MLU gap disconnect. </w:t>
      </w:r>
      <w:r>
        <w:t>Abilene achieves only 40% accuracy but +0.00% oracle gap. Ebone achieves 24% accuracy but +0.00% gap. This means the gate often picks the 'wrong' expert, but the 'wrong' expert's MLU happens to be very close to the oracle's. Accuracy overstates the practical impact of gate errors.</w:t>
      </w:r>
    </w:p>
    <w:p>
      <w:pPr>
        <w:pStyle w:val="Heading1"/>
      </w:pPr>
      <w:r>
        <w:t>11. Exact Method Description for Thesis</w:t>
      </w:r>
    </w:p>
    <w:p>
      <w:pPr/>
      <w:r>
        <w:t>The following paragraph is the recommended copy-paste-ready method description:</w:t>
      </w:r>
    </w:p>
    <w:p/>
    <w:p>
      <w:pPr>
        <w:ind w:left="567"/>
      </w:pPr>
      <w:r>
        <w:rPr>
          <w:i/>
          <w:sz w:val="22"/>
        </w:rPr>
        <w:t>We propose a two-stage expert selection framework for traffic engineering. An MLP-based meta-gate (3-layer, 128-128-64-4 with BatchNorm, dropout 0.3) selects among four expert flow-selection strategies: Bottleneck, Top-K by Demand, Sensitivity Analysis, and GNN-based selection, all operating with K_crit = 40 critical flows for fair comparison.</w:t>
      </w:r>
    </w:p>
    <w:p>
      <w:pPr>
        <w:ind w:left="567"/>
      </w:pPr>
      <w:r>
        <w:rPr>
          <w:i/>
          <w:sz w:val="22"/>
        </w:rPr>
        <w:t>Stage 1 -- Zero-shot gate training. The MLP gate is trained on pooled oracle labels from 6 known topologies (Abilene, GEANT, CERNET, Ebone, Sprintlink, Tiscali; ~2,098 training samples). Oracle labels are obtained by running all four experts through LP optimization and selecting the one achieving minimum MLU per traffic matrix. Inverse-frequency class weighting addresses the 65% Bottleneck class imbalance. Germany50 and VtlWavenet2011 are held out entirely -- no gate weight updates use data from these topologies.</w:t>
      </w:r>
    </w:p>
    <w:p>
      <w:pPr>
        <w:ind w:left="567"/>
      </w:pPr>
      <w:r>
        <w:rPr>
          <w:i/>
          <w:sz w:val="22"/>
        </w:rPr>
        <w:t>Stage 2 -- Few-shot calibration at deployment. Before evaluating on any topology (known or unseen), a lightweight calibration phase runs 10 validation traffic matrices through all 4 experts with LP, counting which expert achieves the lowest MLU. This produces a topology-specific Bayesian prior with Laplace smoothing. At inference time, the MLP softmax output is fused with this prior: P_final(i) = P_MLP(i) x prior(i)^alpha / Z, where alpha = 5 controls calibration influence. No gradient updates occur during calibration -- only 40 LP evaluations (10 TMs x 4 experts).</w:t>
      </w:r>
    </w:p>
    <w:p>
      <w:pPr>
        <w:ind w:left="567"/>
      </w:pPr>
      <w:r>
        <w:rPr>
          <w:i/>
          <w:sz w:val="22"/>
        </w:rPr>
        <w:t>This is not a pure zero-shot evaluation. The gate weights are zero-shot with respect to unseen topologies, but the calibration prior requires 10 topology-specific validation samples. We characterize this as zero-shot learning with few-shot calibration: the model never trains on unseen topologies, but adapts its confidence distribution using a small validation budget before test-time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